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charts/chart1.xml" ContentType="application/vnd.openxmlformats-officedocument.drawingml.chart+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146C8" w:rsidRDefault="002146C8" w:rsidP="00B91023">
      <w:pPr>
        <w:spacing w:after="120"/>
        <w:jc w:val="center"/>
        <w:outlineLvl w:val="0"/>
        <w:rPr>
          <w:rFonts w:cstheme="minorHAnsi"/>
          <w:b/>
          <w:smallCaps/>
          <w:sz w:val="52"/>
          <w:szCs w:val="32"/>
        </w:rPr>
      </w:pPr>
    </w:p>
    <w:p w:rsidR="002146C8" w:rsidRDefault="002146C8" w:rsidP="00B91023">
      <w:pPr>
        <w:spacing w:after="120"/>
        <w:jc w:val="center"/>
        <w:outlineLvl w:val="0"/>
        <w:rPr>
          <w:rFonts w:cstheme="minorHAnsi"/>
          <w:b/>
          <w:smallCaps/>
          <w:sz w:val="52"/>
          <w:szCs w:val="32"/>
        </w:rPr>
      </w:pPr>
    </w:p>
    <w:p w:rsidR="002146C8" w:rsidRDefault="00B91023" w:rsidP="00B91023">
      <w:pPr>
        <w:spacing w:after="120"/>
        <w:jc w:val="center"/>
        <w:outlineLvl w:val="0"/>
        <w:rPr>
          <w:rFonts w:cstheme="minorHAnsi"/>
          <w:b/>
          <w:smallCaps/>
          <w:sz w:val="52"/>
          <w:szCs w:val="32"/>
        </w:rPr>
      </w:pPr>
      <w:r w:rsidRPr="002146C8">
        <w:rPr>
          <w:rFonts w:cstheme="minorHAnsi"/>
          <w:b/>
          <w:smallCaps/>
          <w:sz w:val="52"/>
          <w:szCs w:val="32"/>
        </w:rPr>
        <w:t xml:space="preserve">Graduating from GAVI Support: </w:t>
      </w:r>
    </w:p>
    <w:p w:rsidR="00B91023" w:rsidRPr="002146C8" w:rsidRDefault="00B91023" w:rsidP="00B91023">
      <w:pPr>
        <w:spacing w:after="120"/>
        <w:jc w:val="center"/>
        <w:outlineLvl w:val="0"/>
        <w:rPr>
          <w:rFonts w:cstheme="minorHAnsi"/>
          <w:b/>
          <w:smallCaps/>
          <w:sz w:val="52"/>
          <w:szCs w:val="32"/>
        </w:rPr>
      </w:pPr>
    </w:p>
    <w:p w:rsidR="00B91023" w:rsidRPr="002146C8" w:rsidRDefault="00B91023" w:rsidP="00B91023">
      <w:pPr>
        <w:spacing w:after="120"/>
        <w:jc w:val="center"/>
        <w:outlineLvl w:val="0"/>
        <w:rPr>
          <w:rFonts w:cstheme="minorHAnsi"/>
          <w:b/>
          <w:smallCaps/>
          <w:sz w:val="52"/>
          <w:szCs w:val="32"/>
        </w:rPr>
      </w:pPr>
      <w:r w:rsidRPr="002146C8">
        <w:rPr>
          <w:rFonts w:cstheme="minorHAnsi"/>
          <w:b/>
          <w:smallCaps/>
          <w:sz w:val="52"/>
          <w:szCs w:val="32"/>
        </w:rPr>
        <w:t>Georgia’s Financial Projections and A</w:t>
      </w:r>
      <w:r w:rsidR="002146C8">
        <w:rPr>
          <w:rFonts w:cstheme="minorHAnsi"/>
          <w:b/>
          <w:smallCaps/>
          <w:sz w:val="52"/>
          <w:szCs w:val="32"/>
        </w:rPr>
        <w:t>nalysi</w:t>
      </w:r>
      <w:r w:rsidRPr="002146C8">
        <w:rPr>
          <w:rFonts w:cstheme="minorHAnsi"/>
          <w:b/>
          <w:smallCaps/>
          <w:sz w:val="52"/>
          <w:szCs w:val="32"/>
        </w:rPr>
        <w:t>s</w:t>
      </w:r>
    </w:p>
    <w:p w:rsidR="002146C8" w:rsidRDefault="002146C8" w:rsidP="00A9339D">
      <w:pPr>
        <w:spacing w:after="120"/>
        <w:jc w:val="center"/>
        <w:outlineLvl w:val="0"/>
        <w:rPr>
          <w:rFonts w:cstheme="minorHAnsi"/>
          <w:b/>
          <w:smallCaps/>
          <w:sz w:val="32"/>
          <w:szCs w:val="32"/>
        </w:rPr>
      </w:pPr>
    </w:p>
    <w:p w:rsidR="002146C8" w:rsidRDefault="002146C8" w:rsidP="00A9339D">
      <w:pPr>
        <w:spacing w:after="120"/>
        <w:jc w:val="center"/>
        <w:outlineLvl w:val="0"/>
        <w:rPr>
          <w:rFonts w:cstheme="minorHAnsi"/>
          <w:b/>
          <w:smallCaps/>
          <w:sz w:val="32"/>
          <w:szCs w:val="32"/>
        </w:rPr>
      </w:pPr>
    </w:p>
    <w:p w:rsidR="00B91023" w:rsidRPr="002146C8" w:rsidRDefault="00B91023" w:rsidP="00A9339D">
      <w:pPr>
        <w:spacing w:after="120"/>
        <w:jc w:val="center"/>
        <w:outlineLvl w:val="0"/>
        <w:rPr>
          <w:rFonts w:cstheme="minorHAnsi"/>
          <w:b/>
          <w:smallCaps/>
          <w:sz w:val="32"/>
          <w:szCs w:val="32"/>
        </w:rPr>
      </w:pPr>
    </w:p>
    <w:p w:rsidR="002146C8" w:rsidRDefault="00B91023" w:rsidP="00A9339D">
      <w:pPr>
        <w:spacing w:after="120"/>
        <w:jc w:val="center"/>
        <w:outlineLvl w:val="0"/>
        <w:rPr>
          <w:rFonts w:cstheme="minorHAnsi"/>
          <w:b/>
          <w:smallCaps/>
          <w:sz w:val="40"/>
          <w:szCs w:val="32"/>
        </w:rPr>
      </w:pPr>
      <w:r w:rsidRPr="002146C8">
        <w:rPr>
          <w:rFonts w:cstheme="minorHAnsi"/>
          <w:b/>
          <w:smallCaps/>
          <w:sz w:val="40"/>
          <w:szCs w:val="32"/>
        </w:rPr>
        <w:t>Excerpts the GAVI Georgia Country Report</w:t>
      </w:r>
    </w:p>
    <w:p w:rsidR="002146C8" w:rsidRPr="002146C8" w:rsidRDefault="002146C8" w:rsidP="002146C8">
      <w:pPr>
        <w:pStyle w:val="ListParagraph"/>
        <w:numPr>
          <w:ilvl w:val="0"/>
          <w:numId w:val="12"/>
        </w:numPr>
        <w:rPr>
          <w:rFonts w:cstheme="minorHAnsi"/>
          <w:b/>
          <w:smallCaps/>
          <w:szCs w:val="32"/>
        </w:rPr>
      </w:pPr>
      <w:r w:rsidRPr="002146C8">
        <w:rPr>
          <w:rFonts w:cstheme="minorHAnsi"/>
          <w:b/>
          <w:smallCaps/>
          <w:szCs w:val="32"/>
        </w:rPr>
        <w:br w:type="page"/>
      </w:r>
      <w:r w:rsidRPr="002146C8">
        <w:rPr>
          <w:rFonts w:cstheme="minorHAnsi"/>
          <w:b/>
        </w:rPr>
        <w:t>Health Expenditures</w:t>
      </w:r>
    </w:p>
    <w:p w:rsidR="002146C8" w:rsidRPr="002146C8" w:rsidRDefault="002146C8" w:rsidP="002146C8">
      <w:pPr>
        <w:pStyle w:val="ListParagraph"/>
        <w:rPr>
          <w:rFonts w:cstheme="minorHAnsi"/>
          <w:b/>
          <w:smallCaps/>
          <w:szCs w:val="32"/>
        </w:rPr>
      </w:pPr>
    </w:p>
    <w:p w:rsidR="002146C8" w:rsidRPr="00AF459E" w:rsidRDefault="002146C8" w:rsidP="002146C8">
      <w:pPr>
        <w:spacing w:after="120"/>
        <w:jc w:val="both"/>
        <w:rPr>
          <w:rFonts w:cstheme="minorHAnsi"/>
          <w:szCs w:val="20"/>
        </w:rPr>
      </w:pPr>
      <w:r w:rsidRPr="00AF459E">
        <w:rPr>
          <w:rFonts w:cstheme="minorHAnsi"/>
          <w:szCs w:val="20"/>
        </w:rPr>
        <w:t xml:space="preserve">Total health spending in Georgia is reported to account for a relatively high share of gross domestic product – over 8% and possibly as high as 10%.  At the same time, public spending only makes up around a quarter of total health expenditure, with the rest composed of mostly out of pocket payments and a small but growing private voluntary health insurance sector which covers over 400,000 persons or about a tenth of the Georgian population.  Government expenditures for health in the mid-1990s constituted a modest 6-8% of all public spending (see Table 7), but it appears that the current government has started raising this share and that they are committed to further rapid growth in the health budget, mainly to finance a universally-available package of services to be implemented by private insurance intermediaries.  Roughly half of the population (around 2 million persons) will benefit from this government-financed package by September 2012, and there is widespread talk of progressively extending the package over the next few years until it reaches all Georgian citizens.  </w:t>
      </w:r>
    </w:p>
    <w:p w:rsidR="002146C8" w:rsidRPr="00AF459E" w:rsidRDefault="002146C8" w:rsidP="002146C8">
      <w:pPr>
        <w:spacing w:after="120"/>
        <w:jc w:val="both"/>
        <w:rPr>
          <w:rFonts w:cstheme="minorHAnsi"/>
          <w:szCs w:val="20"/>
        </w:rPr>
      </w:pPr>
      <w:r w:rsidRPr="00AF459E">
        <w:rPr>
          <w:rFonts w:cstheme="minorHAnsi"/>
          <w:szCs w:val="20"/>
        </w:rPr>
        <w:t>According to data received during the GAVI/WHO/UNICEF visit to the country, the ministry of health budget is projected to increase by 14% a year between 2012 and 2015.</w:t>
      </w:r>
    </w:p>
    <w:p w:rsidR="002146C8" w:rsidRPr="00AF459E" w:rsidRDefault="002146C8" w:rsidP="002146C8">
      <w:pPr>
        <w:pStyle w:val="Caption"/>
        <w:spacing w:before="0" w:after="120" w:line="276" w:lineRule="auto"/>
        <w:jc w:val="both"/>
        <w:rPr>
          <w:rFonts w:asciiTheme="minorHAnsi" w:hAnsiTheme="minorHAnsi" w:cstheme="minorHAnsi"/>
          <w:color w:val="000000"/>
          <w:sz w:val="22"/>
          <w:szCs w:val="20"/>
        </w:rPr>
      </w:pPr>
      <w:r w:rsidRPr="00AF459E">
        <w:rPr>
          <w:rFonts w:asciiTheme="minorHAnsi" w:hAnsiTheme="minorHAnsi" w:cstheme="minorHAnsi"/>
          <w:color w:val="000000"/>
          <w:sz w:val="22"/>
          <w:szCs w:val="20"/>
        </w:rPr>
        <w:t xml:space="preserve">Table </w:t>
      </w:r>
      <w:r>
        <w:rPr>
          <w:rFonts w:asciiTheme="minorHAnsi" w:hAnsiTheme="minorHAnsi" w:cstheme="minorHAnsi"/>
          <w:color w:val="000000"/>
          <w:sz w:val="22"/>
          <w:szCs w:val="20"/>
        </w:rPr>
        <w:t>1</w:t>
      </w:r>
      <w:r w:rsidRPr="00AF459E">
        <w:rPr>
          <w:rFonts w:asciiTheme="minorHAnsi" w:hAnsiTheme="minorHAnsi" w:cstheme="minorHAnsi"/>
          <w:color w:val="000000"/>
          <w:sz w:val="22"/>
          <w:szCs w:val="20"/>
        </w:rPr>
        <w:t>:  Georgia: Health expenditures (in million GEL)</w:t>
      </w:r>
    </w:p>
    <w:tbl>
      <w:tblPr>
        <w:tblW w:w="5071" w:type="pct"/>
        <w:tblBorders>
          <w:top w:val="single" w:sz="12" w:space="0" w:color="333399"/>
          <w:bottom w:val="single" w:sz="12" w:space="0" w:color="333399"/>
          <w:insideH w:val="dotted" w:sz="6" w:space="0" w:color="999999"/>
        </w:tblBorders>
        <w:tblCellMar>
          <w:top w:w="28" w:type="dxa"/>
          <w:left w:w="57" w:type="dxa"/>
          <w:bottom w:w="28" w:type="dxa"/>
          <w:right w:w="57" w:type="dxa"/>
        </w:tblCellMar>
        <w:tblLook w:val="00A0"/>
      </w:tblPr>
      <w:tblGrid>
        <w:gridCol w:w="5547"/>
        <w:gridCol w:w="990"/>
        <w:gridCol w:w="990"/>
        <w:gridCol w:w="992"/>
        <w:gridCol w:w="1090"/>
      </w:tblGrid>
      <w:tr w:rsidR="002146C8" w:rsidRPr="00AF459E">
        <w:trPr>
          <w:tblHeader/>
        </w:trPr>
        <w:tc>
          <w:tcPr>
            <w:tcW w:w="2886" w:type="pct"/>
            <w:tcBorders>
              <w:top w:val="single" w:sz="12" w:space="0" w:color="333399"/>
              <w:left w:val="nil"/>
              <w:bottom w:val="single" w:sz="8" w:space="0" w:color="808080"/>
              <w:right w:val="nil"/>
            </w:tcBorders>
            <w:vAlign w:val="center"/>
          </w:tcPr>
          <w:p w:rsidR="002146C8" w:rsidRPr="00AF459E" w:rsidRDefault="002146C8" w:rsidP="004B2D6A">
            <w:pPr>
              <w:spacing w:after="120"/>
              <w:jc w:val="both"/>
              <w:rPr>
                <w:rFonts w:cstheme="minorHAnsi"/>
                <w:szCs w:val="20"/>
              </w:rPr>
            </w:pPr>
          </w:p>
        </w:tc>
        <w:tc>
          <w:tcPr>
            <w:tcW w:w="515" w:type="pct"/>
            <w:tcBorders>
              <w:top w:val="single" w:sz="12" w:space="0" w:color="333399"/>
              <w:left w:val="nil"/>
              <w:bottom w:val="single" w:sz="8" w:space="0" w:color="808080"/>
              <w:right w:val="nil"/>
            </w:tcBorders>
            <w:vAlign w:val="center"/>
          </w:tcPr>
          <w:p w:rsidR="002146C8" w:rsidRPr="00AF459E" w:rsidRDefault="002146C8" w:rsidP="004B2D6A">
            <w:pPr>
              <w:spacing w:after="120"/>
              <w:jc w:val="both"/>
              <w:rPr>
                <w:rFonts w:cstheme="minorHAnsi"/>
                <w:szCs w:val="20"/>
              </w:rPr>
            </w:pPr>
            <w:r w:rsidRPr="00AF459E">
              <w:rPr>
                <w:rFonts w:cstheme="minorHAnsi"/>
                <w:szCs w:val="20"/>
                <w:lang w:val="ka-GE"/>
              </w:rPr>
              <w:t>2</w:t>
            </w:r>
            <w:r w:rsidRPr="00AF459E">
              <w:rPr>
                <w:rFonts w:cstheme="minorHAnsi"/>
                <w:szCs w:val="20"/>
              </w:rPr>
              <w:t>006</w:t>
            </w:r>
          </w:p>
        </w:tc>
        <w:tc>
          <w:tcPr>
            <w:tcW w:w="515" w:type="pct"/>
            <w:tcBorders>
              <w:top w:val="single" w:sz="12" w:space="0" w:color="333399"/>
              <w:left w:val="nil"/>
              <w:bottom w:val="single" w:sz="8" w:space="0" w:color="808080"/>
              <w:right w:val="nil"/>
            </w:tcBorders>
            <w:vAlign w:val="center"/>
          </w:tcPr>
          <w:p w:rsidR="002146C8" w:rsidRPr="00AF459E" w:rsidRDefault="002146C8" w:rsidP="004B2D6A">
            <w:pPr>
              <w:spacing w:after="120"/>
              <w:jc w:val="both"/>
              <w:rPr>
                <w:rFonts w:cstheme="minorHAnsi"/>
                <w:szCs w:val="20"/>
              </w:rPr>
            </w:pPr>
            <w:r w:rsidRPr="00AF459E">
              <w:rPr>
                <w:rFonts w:cstheme="minorHAnsi"/>
                <w:szCs w:val="20"/>
              </w:rPr>
              <w:t>2007</w:t>
            </w:r>
          </w:p>
        </w:tc>
        <w:tc>
          <w:tcPr>
            <w:tcW w:w="516" w:type="pct"/>
            <w:tcBorders>
              <w:top w:val="single" w:sz="12" w:space="0" w:color="333399"/>
              <w:left w:val="nil"/>
              <w:bottom w:val="single" w:sz="8" w:space="0" w:color="808080"/>
              <w:right w:val="nil"/>
            </w:tcBorders>
            <w:vAlign w:val="center"/>
          </w:tcPr>
          <w:p w:rsidR="002146C8" w:rsidRPr="00AF459E" w:rsidRDefault="002146C8" w:rsidP="004B2D6A">
            <w:pPr>
              <w:spacing w:after="120"/>
              <w:jc w:val="both"/>
              <w:rPr>
                <w:rFonts w:cstheme="minorHAnsi"/>
                <w:szCs w:val="20"/>
              </w:rPr>
            </w:pPr>
            <w:r w:rsidRPr="00AF459E">
              <w:rPr>
                <w:rFonts w:cstheme="minorHAnsi"/>
                <w:szCs w:val="20"/>
              </w:rPr>
              <w:t>2008</w:t>
            </w:r>
          </w:p>
        </w:tc>
        <w:tc>
          <w:tcPr>
            <w:tcW w:w="567" w:type="pct"/>
            <w:tcBorders>
              <w:top w:val="single" w:sz="12" w:space="0" w:color="333399"/>
              <w:left w:val="nil"/>
              <w:bottom w:val="single" w:sz="8" w:space="0" w:color="808080"/>
              <w:right w:val="nil"/>
            </w:tcBorders>
            <w:vAlign w:val="center"/>
          </w:tcPr>
          <w:p w:rsidR="002146C8" w:rsidRPr="00AF459E" w:rsidRDefault="002146C8" w:rsidP="004B2D6A">
            <w:pPr>
              <w:spacing w:after="120"/>
              <w:jc w:val="both"/>
              <w:rPr>
                <w:rFonts w:cstheme="minorHAnsi"/>
                <w:szCs w:val="20"/>
              </w:rPr>
            </w:pPr>
            <w:r w:rsidRPr="00AF459E">
              <w:rPr>
                <w:rFonts w:cstheme="minorHAnsi"/>
                <w:szCs w:val="20"/>
              </w:rPr>
              <w:t>2009</w:t>
            </w:r>
          </w:p>
        </w:tc>
      </w:tr>
      <w:tr w:rsidR="002146C8" w:rsidRPr="00AF459E">
        <w:tc>
          <w:tcPr>
            <w:tcW w:w="2886" w:type="pct"/>
            <w:tcBorders>
              <w:top w:val="dotted" w:sz="6" w:space="0" w:color="999999"/>
              <w:left w:val="nil"/>
              <w:bottom w:val="dotted" w:sz="6" w:space="0" w:color="999999"/>
              <w:right w:val="nil"/>
            </w:tcBorders>
          </w:tcPr>
          <w:p w:rsidR="002146C8" w:rsidRPr="00AF459E" w:rsidRDefault="002146C8" w:rsidP="004B2D6A">
            <w:pPr>
              <w:spacing w:after="120"/>
              <w:jc w:val="both"/>
              <w:rPr>
                <w:rFonts w:cstheme="minorHAnsi"/>
                <w:szCs w:val="20"/>
                <w:lang w:val="ka-GE"/>
              </w:rPr>
            </w:pPr>
            <w:r w:rsidRPr="00AF459E">
              <w:rPr>
                <w:rFonts w:cstheme="minorHAnsi"/>
                <w:szCs w:val="20"/>
              </w:rPr>
              <w:t>Public expenditure on health (current million Gel)</w:t>
            </w:r>
          </w:p>
        </w:tc>
        <w:tc>
          <w:tcPr>
            <w:tcW w:w="515" w:type="pct"/>
            <w:tcBorders>
              <w:top w:val="dotted" w:sz="6" w:space="0" w:color="999999"/>
              <w:left w:val="nil"/>
              <w:bottom w:val="dotted" w:sz="6" w:space="0" w:color="999999"/>
              <w:right w:val="nil"/>
            </w:tcBorders>
            <w:noWrap/>
            <w:vAlign w:val="center"/>
          </w:tcPr>
          <w:p w:rsidR="002146C8" w:rsidRPr="00AF459E" w:rsidRDefault="002146C8" w:rsidP="004B2D6A">
            <w:pPr>
              <w:spacing w:after="120"/>
              <w:jc w:val="both"/>
              <w:rPr>
                <w:rFonts w:cstheme="minorHAnsi"/>
                <w:i/>
                <w:szCs w:val="20"/>
              </w:rPr>
            </w:pPr>
            <w:r w:rsidRPr="00AF459E">
              <w:rPr>
                <w:rFonts w:cstheme="minorHAnsi"/>
                <w:i/>
                <w:szCs w:val="20"/>
              </w:rPr>
              <w:t>255</w:t>
            </w:r>
          </w:p>
        </w:tc>
        <w:tc>
          <w:tcPr>
            <w:tcW w:w="515" w:type="pct"/>
            <w:tcBorders>
              <w:top w:val="dotted" w:sz="6" w:space="0" w:color="999999"/>
              <w:left w:val="nil"/>
              <w:bottom w:val="dotted" w:sz="6" w:space="0" w:color="999999"/>
              <w:right w:val="nil"/>
            </w:tcBorders>
            <w:noWrap/>
            <w:vAlign w:val="center"/>
          </w:tcPr>
          <w:p w:rsidR="002146C8" w:rsidRPr="00AF459E" w:rsidRDefault="002146C8" w:rsidP="004B2D6A">
            <w:pPr>
              <w:spacing w:after="120"/>
              <w:jc w:val="both"/>
              <w:rPr>
                <w:rFonts w:cstheme="minorHAnsi"/>
                <w:i/>
                <w:szCs w:val="20"/>
              </w:rPr>
            </w:pPr>
            <w:r w:rsidRPr="00AF459E">
              <w:rPr>
                <w:rFonts w:cstheme="minorHAnsi"/>
                <w:i/>
                <w:szCs w:val="20"/>
              </w:rPr>
              <w:t>256</w:t>
            </w:r>
          </w:p>
        </w:tc>
        <w:tc>
          <w:tcPr>
            <w:tcW w:w="516" w:type="pct"/>
            <w:tcBorders>
              <w:top w:val="dotted" w:sz="6" w:space="0" w:color="999999"/>
              <w:left w:val="nil"/>
              <w:bottom w:val="dotted" w:sz="6" w:space="0" w:color="999999"/>
              <w:right w:val="nil"/>
            </w:tcBorders>
            <w:noWrap/>
            <w:vAlign w:val="center"/>
          </w:tcPr>
          <w:p w:rsidR="002146C8" w:rsidRPr="00AF459E" w:rsidRDefault="002146C8" w:rsidP="004B2D6A">
            <w:pPr>
              <w:spacing w:after="120"/>
              <w:jc w:val="both"/>
              <w:rPr>
                <w:rFonts w:cstheme="minorHAnsi"/>
                <w:szCs w:val="20"/>
              </w:rPr>
            </w:pPr>
            <w:r w:rsidRPr="00AF459E">
              <w:rPr>
                <w:rFonts w:cstheme="minorHAnsi"/>
                <w:szCs w:val="20"/>
              </w:rPr>
              <w:t>343</w:t>
            </w:r>
          </w:p>
        </w:tc>
        <w:tc>
          <w:tcPr>
            <w:tcW w:w="567" w:type="pct"/>
            <w:tcBorders>
              <w:top w:val="dotted" w:sz="6" w:space="0" w:color="999999"/>
              <w:left w:val="nil"/>
              <w:bottom w:val="dotted" w:sz="6" w:space="0" w:color="999999"/>
              <w:right w:val="nil"/>
            </w:tcBorders>
            <w:noWrap/>
            <w:vAlign w:val="center"/>
          </w:tcPr>
          <w:p w:rsidR="002146C8" w:rsidRPr="00AF459E" w:rsidRDefault="002146C8" w:rsidP="004B2D6A">
            <w:pPr>
              <w:spacing w:after="120"/>
              <w:jc w:val="both"/>
              <w:rPr>
                <w:rFonts w:cstheme="minorHAnsi"/>
                <w:szCs w:val="20"/>
              </w:rPr>
            </w:pPr>
            <w:r w:rsidRPr="00AF459E">
              <w:rPr>
                <w:rFonts w:cstheme="minorHAnsi"/>
                <w:szCs w:val="20"/>
              </w:rPr>
              <w:t>419</w:t>
            </w:r>
          </w:p>
        </w:tc>
      </w:tr>
      <w:tr w:rsidR="002146C8" w:rsidRPr="00AF459E">
        <w:tc>
          <w:tcPr>
            <w:tcW w:w="2886" w:type="pct"/>
            <w:tcBorders>
              <w:top w:val="dotted" w:sz="6" w:space="0" w:color="999999"/>
              <w:left w:val="nil"/>
              <w:bottom w:val="dotted" w:sz="6" w:space="0" w:color="999999"/>
              <w:right w:val="nil"/>
            </w:tcBorders>
          </w:tcPr>
          <w:p w:rsidR="002146C8" w:rsidRPr="00AF459E" w:rsidRDefault="002146C8" w:rsidP="004B2D6A">
            <w:pPr>
              <w:spacing w:after="120"/>
              <w:jc w:val="both"/>
              <w:rPr>
                <w:rFonts w:cstheme="minorHAnsi"/>
                <w:szCs w:val="20"/>
              </w:rPr>
            </w:pPr>
            <w:r w:rsidRPr="00AF459E">
              <w:rPr>
                <w:rFonts w:cstheme="minorHAnsi"/>
                <w:szCs w:val="20"/>
              </w:rPr>
              <w:t>Public expenditure on health as Per Cent of General Government Expenditure</w:t>
            </w:r>
          </w:p>
        </w:tc>
        <w:tc>
          <w:tcPr>
            <w:tcW w:w="515" w:type="pct"/>
            <w:tcBorders>
              <w:top w:val="dotted" w:sz="6" w:space="0" w:color="999999"/>
              <w:left w:val="nil"/>
              <w:bottom w:val="dotted" w:sz="6" w:space="0" w:color="999999"/>
              <w:right w:val="nil"/>
            </w:tcBorders>
            <w:noWrap/>
            <w:vAlign w:val="center"/>
          </w:tcPr>
          <w:p w:rsidR="002146C8" w:rsidRPr="00AF459E" w:rsidRDefault="002146C8" w:rsidP="004B2D6A">
            <w:pPr>
              <w:spacing w:after="120"/>
              <w:jc w:val="both"/>
              <w:rPr>
                <w:rFonts w:cstheme="minorHAnsi"/>
                <w:i/>
                <w:szCs w:val="20"/>
              </w:rPr>
            </w:pPr>
            <w:r w:rsidRPr="00AF459E">
              <w:rPr>
                <w:rFonts w:cstheme="minorHAnsi"/>
                <w:i/>
                <w:szCs w:val="20"/>
              </w:rPr>
              <w:t>6.6%</w:t>
            </w:r>
          </w:p>
        </w:tc>
        <w:tc>
          <w:tcPr>
            <w:tcW w:w="515" w:type="pct"/>
            <w:tcBorders>
              <w:top w:val="dotted" w:sz="6" w:space="0" w:color="999999"/>
              <w:left w:val="nil"/>
              <w:bottom w:val="dotted" w:sz="6" w:space="0" w:color="999999"/>
              <w:right w:val="nil"/>
            </w:tcBorders>
            <w:noWrap/>
            <w:vAlign w:val="center"/>
          </w:tcPr>
          <w:p w:rsidR="002146C8" w:rsidRPr="00AF459E" w:rsidRDefault="002146C8" w:rsidP="004B2D6A">
            <w:pPr>
              <w:spacing w:after="120"/>
              <w:jc w:val="both"/>
              <w:rPr>
                <w:rFonts w:cstheme="minorHAnsi"/>
                <w:i/>
                <w:szCs w:val="20"/>
              </w:rPr>
            </w:pPr>
            <w:r w:rsidRPr="00AF459E">
              <w:rPr>
                <w:rFonts w:cstheme="minorHAnsi"/>
                <w:i/>
                <w:szCs w:val="20"/>
              </w:rPr>
              <w:t>5.1%</w:t>
            </w:r>
          </w:p>
        </w:tc>
        <w:tc>
          <w:tcPr>
            <w:tcW w:w="516" w:type="pct"/>
            <w:tcBorders>
              <w:top w:val="dotted" w:sz="6" w:space="0" w:color="999999"/>
              <w:left w:val="nil"/>
              <w:bottom w:val="dotted" w:sz="6" w:space="0" w:color="999999"/>
              <w:right w:val="nil"/>
            </w:tcBorders>
            <w:noWrap/>
            <w:vAlign w:val="center"/>
          </w:tcPr>
          <w:p w:rsidR="002146C8" w:rsidRPr="00AF459E" w:rsidRDefault="002146C8" w:rsidP="004B2D6A">
            <w:pPr>
              <w:spacing w:after="120"/>
              <w:jc w:val="both"/>
              <w:rPr>
                <w:rFonts w:cstheme="minorHAnsi"/>
                <w:szCs w:val="20"/>
              </w:rPr>
            </w:pPr>
            <w:r w:rsidRPr="00AF459E">
              <w:rPr>
                <w:rFonts w:cstheme="minorHAnsi"/>
                <w:szCs w:val="20"/>
              </w:rPr>
              <w:t>5.9%</w:t>
            </w:r>
          </w:p>
        </w:tc>
        <w:tc>
          <w:tcPr>
            <w:tcW w:w="567" w:type="pct"/>
            <w:tcBorders>
              <w:top w:val="dotted" w:sz="6" w:space="0" w:color="999999"/>
              <w:left w:val="nil"/>
              <w:bottom w:val="dotted" w:sz="6" w:space="0" w:color="999999"/>
              <w:right w:val="nil"/>
            </w:tcBorders>
            <w:noWrap/>
            <w:vAlign w:val="center"/>
          </w:tcPr>
          <w:p w:rsidR="002146C8" w:rsidRPr="00AF459E" w:rsidRDefault="002146C8" w:rsidP="004B2D6A">
            <w:pPr>
              <w:spacing w:after="120"/>
              <w:jc w:val="both"/>
              <w:rPr>
                <w:rFonts w:cstheme="minorHAnsi"/>
                <w:szCs w:val="20"/>
              </w:rPr>
            </w:pPr>
            <w:r w:rsidRPr="00AF459E">
              <w:rPr>
                <w:rFonts w:cstheme="minorHAnsi"/>
                <w:szCs w:val="20"/>
              </w:rPr>
              <w:t>8.0%</w:t>
            </w:r>
          </w:p>
        </w:tc>
      </w:tr>
      <w:tr w:rsidR="002146C8" w:rsidRPr="00AF459E">
        <w:tc>
          <w:tcPr>
            <w:tcW w:w="2886" w:type="pct"/>
            <w:tcBorders>
              <w:top w:val="dotted" w:sz="6" w:space="0" w:color="999999"/>
              <w:left w:val="nil"/>
              <w:bottom w:val="single" w:sz="12" w:space="0" w:color="333399"/>
              <w:right w:val="nil"/>
            </w:tcBorders>
          </w:tcPr>
          <w:p w:rsidR="002146C8" w:rsidRPr="00AF459E" w:rsidRDefault="002146C8" w:rsidP="004B2D6A">
            <w:pPr>
              <w:spacing w:after="120"/>
              <w:jc w:val="both"/>
              <w:rPr>
                <w:rFonts w:cstheme="minorHAnsi"/>
                <w:szCs w:val="20"/>
              </w:rPr>
            </w:pPr>
            <w:r w:rsidRPr="00AF459E">
              <w:rPr>
                <w:rFonts w:cstheme="minorHAnsi"/>
                <w:szCs w:val="20"/>
              </w:rPr>
              <w:t>Total Health Expenditure (current million Gel)</w:t>
            </w:r>
          </w:p>
        </w:tc>
        <w:tc>
          <w:tcPr>
            <w:tcW w:w="515" w:type="pct"/>
            <w:tcBorders>
              <w:top w:val="dotted" w:sz="6" w:space="0" w:color="999999"/>
              <w:left w:val="nil"/>
              <w:bottom w:val="single" w:sz="12" w:space="0" w:color="333399"/>
              <w:right w:val="nil"/>
            </w:tcBorders>
            <w:noWrap/>
            <w:vAlign w:val="center"/>
          </w:tcPr>
          <w:p w:rsidR="002146C8" w:rsidRPr="00AF459E" w:rsidRDefault="002146C8" w:rsidP="004B2D6A">
            <w:pPr>
              <w:spacing w:after="120"/>
              <w:jc w:val="both"/>
              <w:rPr>
                <w:rFonts w:cstheme="minorHAnsi"/>
                <w:szCs w:val="20"/>
              </w:rPr>
            </w:pPr>
            <w:r w:rsidRPr="00AF459E">
              <w:rPr>
                <w:rFonts w:cstheme="minorHAnsi"/>
                <w:szCs w:val="20"/>
              </w:rPr>
              <w:t>1,160</w:t>
            </w:r>
          </w:p>
        </w:tc>
        <w:tc>
          <w:tcPr>
            <w:tcW w:w="515" w:type="pct"/>
            <w:tcBorders>
              <w:top w:val="dotted" w:sz="6" w:space="0" w:color="999999"/>
              <w:left w:val="nil"/>
              <w:bottom w:val="single" w:sz="12" w:space="0" w:color="333399"/>
              <w:right w:val="nil"/>
            </w:tcBorders>
            <w:noWrap/>
            <w:vAlign w:val="center"/>
          </w:tcPr>
          <w:p w:rsidR="002146C8" w:rsidRPr="00AF459E" w:rsidRDefault="002146C8" w:rsidP="004B2D6A">
            <w:pPr>
              <w:spacing w:after="120"/>
              <w:jc w:val="both"/>
              <w:rPr>
                <w:rFonts w:cstheme="minorHAnsi"/>
                <w:szCs w:val="20"/>
              </w:rPr>
            </w:pPr>
            <w:r w:rsidRPr="00AF459E">
              <w:rPr>
                <w:rFonts w:cstheme="minorHAnsi"/>
                <w:szCs w:val="20"/>
              </w:rPr>
              <w:t>1,387</w:t>
            </w:r>
          </w:p>
        </w:tc>
        <w:tc>
          <w:tcPr>
            <w:tcW w:w="516" w:type="pct"/>
            <w:tcBorders>
              <w:top w:val="dotted" w:sz="6" w:space="0" w:color="999999"/>
              <w:left w:val="nil"/>
              <w:bottom w:val="single" w:sz="12" w:space="0" w:color="333399"/>
              <w:right w:val="nil"/>
            </w:tcBorders>
            <w:noWrap/>
            <w:vAlign w:val="center"/>
          </w:tcPr>
          <w:p w:rsidR="002146C8" w:rsidRPr="00AF459E" w:rsidRDefault="002146C8" w:rsidP="004B2D6A">
            <w:pPr>
              <w:spacing w:after="120"/>
              <w:jc w:val="both"/>
              <w:rPr>
                <w:rFonts w:cstheme="minorHAnsi"/>
                <w:szCs w:val="20"/>
              </w:rPr>
            </w:pPr>
            <w:r w:rsidRPr="00AF459E">
              <w:rPr>
                <w:rFonts w:cstheme="minorHAnsi"/>
                <w:szCs w:val="20"/>
              </w:rPr>
              <w:t>1,661</w:t>
            </w:r>
          </w:p>
        </w:tc>
        <w:tc>
          <w:tcPr>
            <w:tcW w:w="567" w:type="pct"/>
            <w:tcBorders>
              <w:top w:val="dotted" w:sz="6" w:space="0" w:color="999999"/>
              <w:left w:val="nil"/>
              <w:bottom w:val="single" w:sz="12" w:space="0" w:color="333399"/>
              <w:right w:val="nil"/>
            </w:tcBorders>
            <w:noWrap/>
            <w:vAlign w:val="center"/>
          </w:tcPr>
          <w:p w:rsidR="002146C8" w:rsidRPr="00AF459E" w:rsidRDefault="002146C8" w:rsidP="004B2D6A">
            <w:pPr>
              <w:spacing w:after="120"/>
              <w:jc w:val="both"/>
              <w:rPr>
                <w:rFonts w:cstheme="minorHAnsi"/>
                <w:szCs w:val="20"/>
              </w:rPr>
            </w:pPr>
            <w:r w:rsidRPr="00AF459E">
              <w:rPr>
                <w:rFonts w:cstheme="minorHAnsi"/>
                <w:szCs w:val="20"/>
              </w:rPr>
              <w:t>1,819</w:t>
            </w:r>
          </w:p>
        </w:tc>
      </w:tr>
    </w:tbl>
    <w:p w:rsidR="002146C8" w:rsidRDefault="002146C8" w:rsidP="002146C8">
      <w:pPr>
        <w:spacing w:after="120"/>
        <w:jc w:val="both"/>
        <w:rPr>
          <w:rFonts w:cstheme="minorHAnsi"/>
          <w:i/>
          <w:sz w:val="20"/>
          <w:szCs w:val="20"/>
        </w:rPr>
      </w:pPr>
    </w:p>
    <w:p w:rsidR="002146C8" w:rsidRPr="001C453A" w:rsidRDefault="002146C8" w:rsidP="002146C8">
      <w:pPr>
        <w:spacing w:after="120"/>
        <w:jc w:val="both"/>
        <w:rPr>
          <w:rFonts w:cstheme="minorHAnsi"/>
          <w:i/>
          <w:sz w:val="20"/>
          <w:szCs w:val="20"/>
        </w:rPr>
      </w:pPr>
    </w:p>
    <w:p w:rsidR="002146C8" w:rsidRPr="002146C8" w:rsidRDefault="002146C8" w:rsidP="002146C8">
      <w:pPr>
        <w:pStyle w:val="ListParagraph"/>
        <w:numPr>
          <w:ilvl w:val="0"/>
          <w:numId w:val="12"/>
        </w:numPr>
        <w:spacing w:after="120"/>
        <w:rPr>
          <w:rFonts w:cstheme="minorHAnsi"/>
          <w:b/>
        </w:rPr>
      </w:pPr>
      <w:r w:rsidRPr="002146C8">
        <w:rPr>
          <w:rFonts w:cstheme="minorHAnsi"/>
          <w:b/>
        </w:rPr>
        <w:t>Past expenditures on immunization</w:t>
      </w:r>
    </w:p>
    <w:p w:rsidR="002146C8" w:rsidRPr="00AF459E" w:rsidRDefault="002146C8" w:rsidP="002146C8">
      <w:pPr>
        <w:spacing w:after="120"/>
        <w:jc w:val="both"/>
        <w:rPr>
          <w:rFonts w:cstheme="minorHAnsi"/>
          <w:szCs w:val="20"/>
        </w:rPr>
      </w:pPr>
      <w:r w:rsidRPr="00AF459E">
        <w:rPr>
          <w:rFonts w:cstheme="minorHAnsi"/>
          <w:szCs w:val="20"/>
        </w:rPr>
        <w:t>According to the data compiled for the 2011 country multi-year plan (cMYP) for immunization, the government of Georgia, spent around $5.4 million on immunization in 2010 (see Table 8).  This included $3.7 million (68%) in direct costs and the balance of $1.7 million (32%) in so called “joint system” (shared costs?) costs for health workers to deliver the vaccines to children and adults in the population.   Just over three-quarters of the direct immunization costs ($2.8 million) were for the vaccines themselves, according to the cMYP.</w:t>
      </w:r>
    </w:p>
    <w:p w:rsidR="002146C8" w:rsidRDefault="002146C8" w:rsidP="002146C8">
      <w:pPr>
        <w:spacing w:after="120"/>
        <w:jc w:val="both"/>
        <w:rPr>
          <w:rFonts w:cstheme="minorHAnsi"/>
          <w:szCs w:val="20"/>
        </w:rPr>
      </w:pPr>
      <w:r w:rsidRPr="00AF459E">
        <w:rPr>
          <w:rFonts w:cstheme="minorHAnsi"/>
          <w:szCs w:val="20"/>
        </w:rPr>
        <w:t>Total public spending for immunization was equivalent to 2.1% of government health expenditure in 2010</w:t>
      </w:r>
      <w:proofErr w:type="gramStart"/>
      <w:r w:rsidRPr="00AF459E">
        <w:rPr>
          <w:rFonts w:cstheme="minorHAnsi"/>
          <w:szCs w:val="20"/>
        </w:rPr>
        <w:t>?.</w:t>
      </w:r>
      <w:proofErr w:type="gramEnd"/>
      <w:r w:rsidRPr="00AF459E">
        <w:rPr>
          <w:rFonts w:cstheme="minorHAnsi"/>
          <w:szCs w:val="20"/>
        </w:rPr>
        <w:t xml:space="preserve">  The direct public outlays represented 1.4% of the health budget in 2010.  The cMYP further calculated vaccine spending per child immunized with all three doses of DPT vaccine at $50, but this figure is possibly a bit misleading, as vaccine spending included purchases of rabies vaccine which appears to be a major item in the government’s vaccine procurement, amounting to around $0.5 million annually (price per dose of rabies vaccine?).</w:t>
      </w:r>
    </w:p>
    <w:p w:rsidR="002146C8" w:rsidRPr="00AF459E" w:rsidRDefault="002146C8" w:rsidP="002146C8">
      <w:pPr>
        <w:spacing w:after="120"/>
        <w:jc w:val="both"/>
        <w:rPr>
          <w:rFonts w:cstheme="minorHAnsi"/>
          <w:szCs w:val="20"/>
        </w:rPr>
      </w:pPr>
      <w:r w:rsidRPr="00AF459E">
        <w:rPr>
          <w:rFonts w:cstheme="minorHAnsi"/>
          <w:b/>
          <w:szCs w:val="20"/>
        </w:rPr>
        <w:t xml:space="preserve">Table </w:t>
      </w:r>
      <w:r>
        <w:rPr>
          <w:rFonts w:cstheme="minorHAnsi"/>
          <w:b/>
          <w:szCs w:val="20"/>
        </w:rPr>
        <w:t>2</w:t>
      </w:r>
      <w:r w:rsidRPr="00AF459E">
        <w:rPr>
          <w:rFonts w:cstheme="minorHAnsi"/>
          <w:b/>
          <w:szCs w:val="20"/>
        </w:rPr>
        <w:t>: Georgia: Public sector immunization expenditures, 2010 (definition of direct and indirect?)</w:t>
      </w:r>
    </w:p>
    <w:p w:rsidR="002146C8" w:rsidRPr="001C453A" w:rsidRDefault="002146C8" w:rsidP="002146C8">
      <w:pPr>
        <w:spacing w:after="120"/>
        <w:jc w:val="both"/>
        <w:rPr>
          <w:rFonts w:cstheme="minorHAnsi"/>
          <w:b/>
          <w:sz w:val="20"/>
          <w:szCs w:val="20"/>
        </w:rPr>
      </w:pPr>
    </w:p>
    <w:p w:rsidR="002146C8" w:rsidRDefault="002146C8" w:rsidP="002146C8">
      <w:pPr>
        <w:spacing w:after="120"/>
        <w:jc w:val="center"/>
        <w:rPr>
          <w:rFonts w:cstheme="minorHAnsi"/>
          <w:sz w:val="20"/>
          <w:szCs w:val="20"/>
        </w:rPr>
      </w:pPr>
      <w:r w:rsidRPr="001C453A">
        <w:rPr>
          <w:rFonts w:cstheme="minorHAnsi"/>
          <w:noProof/>
          <w:sz w:val="20"/>
          <w:szCs w:val="20"/>
        </w:rPr>
        <w:drawing>
          <wp:inline distT="0" distB="0" distL="0" distR="0">
            <wp:extent cx="3467100" cy="30670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4599" cy="3082530"/>
                    </a:xfrm>
                    <a:prstGeom prst="rect">
                      <a:avLst/>
                    </a:prstGeom>
                    <a:noFill/>
                    <a:ln>
                      <a:noFill/>
                    </a:ln>
                  </pic:spPr>
                </pic:pic>
              </a:graphicData>
            </a:graphic>
          </wp:inline>
        </w:drawing>
      </w:r>
    </w:p>
    <w:p w:rsidR="002146C8" w:rsidRPr="001C453A" w:rsidRDefault="002146C8" w:rsidP="002146C8">
      <w:pPr>
        <w:spacing w:after="120"/>
        <w:jc w:val="center"/>
        <w:rPr>
          <w:rFonts w:cstheme="minorHAnsi"/>
          <w:sz w:val="20"/>
          <w:szCs w:val="20"/>
        </w:rPr>
      </w:pPr>
    </w:p>
    <w:p w:rsidR="002146C8" w:rsidRPr="006F2216" w:rsidRDefault="002146C8" w:rsidP="002146C8">
      <w:pPr>
        <w:pStyle w:val="ListParagraph"/>
        <w:numPr>
          <w:ilvl w:val="0"/>
          <w:numId w:val="12"/>
        </w:numPr>
        <w:spacing w:after="120"/>
        <w:rPr>
          <w:rFonts w:cstheme="minorHAnsi"/>
          <w:b/>
        </w:rPr>
      </w:pPr>
      <w:r w:rsidRPr="006F2216">
        <w:rPr>
          <w:rFonts w:cstheme="minorHAnsi"/>
          <w:b/>
        </w:rPr>
        <w:t>Sources of financing for immunization</w:t>
      </w:r>
    </w:p>
    <w:p w:rsidR="002146C8" w:rsidRDefault="002146C8" w:rsidP="002146C8">
      <w:pPr>
        <w:spacing w:after="120"/>
        <w:jc w:val="both"/>
        <w:rPr>
          <w:rFonts w:cstheme="minorHAnsi"/>
          <w:szCs w:val="20"/>
        </w:rPr>
      </w:pPr>
      <w:r w:rsidRPr="00AF459E">
        <w:rPr>
          <w:rFonts w:cstheme="minorHAnsi"/>
          <w:szCs w:val="20"/>
        </w:rPr>
        <w:t>While in the early years following the establishment of the Republic of Georgia in the 1990s, the country was heavily dependent on external assistance to pay for its immunization program, in recent years the country has been assuming the majority of costs and appears to be well on the road to financial self-sufficiency.  According to the cMYP, the government covered approximately 77% of the direct immunization costs mentioned earlier (about $2.8 million), with donors assuming the remaining 23%, comprising GAVI (16%), WHO (5%), the Rostropovich-Vishnevskaya Foundation (2%), to pay for immunoglobulin for babies born to mothers testing positive for Hepatitis B antibodies), and UNICEF (1%).  If the indirect joint system costs are included, then the government’s share in the immunization program costs in 2010 was even larger, at 84% of the total.</w:t>
      </w:r>
    </w:p>
    <w:p w:rsidR="002146C8" w:rsidRPr="00AF459E" w:rsidRDefault="002146C8" w:rsidP="002146C8">
      <w:pPr>
        <w:spacing w:after="120"/>
        <w:jc w:val="both"/>
        <w:rPr>
          <w:rFonts w:cstheme="minorHAnsi"/>
          <w:szCs w:val="20"/>
        </w:rPr>
      </w:pPr>
    </w:p>
    <w:p w:rsidR="002146C8" w:rsidRPr="006F2216" w:rsidRDefault="002146C8" w:rsidP="002146C8">
      <w:pPr>
        <w:pStyle w:val="ListParagraph"/>
        <w:numPr>
          <w:ilvl w:val="0"/>
          <w:numId w:val="12"/>
        </w:numPr>
        <w:spacing w:after="120"/>
        <w:rPr>
          <w:rFonts w:cstheme="minorHAnsi"/>
          <w:b/>
        </w:rPr>
      </w:pPr>
      <w:r w:rsidRPr="006F2216">
        <w:rPr>
          <w:rFonts w:cstheme="minorHAnsi"/>
          <w:b/>
        </w:rPr>
        <w:t>Estimated future financing of immunization</w:t>
      </w:r>
    </w:p>
    <w:p w:rsidR="002146C8" w:rsidRPr="00AF459E" w:rsidRDefault="002146C8" w:rsidP="002146C8">
      <w:pPr>
        <w:spacing w:after="120"/>
        <w:jc w:val="both"/>
        <w:rPr>
          <w:rFonts w:cstheme="minorHAnsi"/>
          <w:szCs w:val="20"/>
        </w:rPr>
      </w:pPr>
      <w:r w:rsidRPr="00AF459E">
        <w:rPr>
          <w:rFonts w:cstheme="minorHAnsi"/>
          <w:szCs w:val="20"/>
        </w:rPr>
        <w:t>As part of the joint WHO/UNICEF/GAVI visit, the team discussed with their Georgian counterparts the future prospects for financing the national immunization program.  The financing of the vaccines themselves was closely examined, to answer the questions: How much will Georgia have to pay for its vaccines?  Will the country be able to afford these vaccines, especially as external assistance to the country declines and Georgia becomes self-sufficient?  To answer these questions, the GAVI vaccine “fiscal space” model was used.</w:t>
      </w:r>
    </w:p>
    <w:p w:rsidR="002146C8" w:rsidRPr="00AF459E" w:rsidRDefault="002146C8" w:rsidP="002146C8">
      <w:pPr>
        <w:spacing w:after="120"/>
        <w:jc w:val="both"/>
        <w:rPr>
          <w:rFonts w:cstheme="minorHAnsi"/>
          <w:szCs w:val="20"/>
        </w:rPr>
      </w:pPr>
      <w:r w:rsidRPr="00AF459E">
        <w:rPr>
          <w:rFonts w:cstheme="minorHAnsi"/>
          <w:szCs w:val="20"/>
        </w:rPr>
        <w:t>In running the baseline scenario under the GAVI model, the following was assumed:</w:t>
      </w:r>
    </w:p>
    <w:p w:rsidR="002146C8" w:rsidRPr="00AF459E" w:rsidRDefault="002146C8" w:rsidP="002146C8">
      <w:pPr>
        <w:pStyle w:val="ListParagraph"/>
        <w:numPr>
          <w:ilvl w:val="0"/>
          <w:numId w:val="3"/>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The country will introduce two new vaccines, rotavirus (2012) and pneumococcal (2013) with GAVI co-financing support.</w:t>
      </w:r>
    </w:p>
    <w:p w:rsidR="002146C8" w:rsidRPr="00AF459E" w:rsidRDefault="002146C8" w:rsidP="002146C8">
      <w:pPr>
        <w:pStyle w:val="ListParagraph"/>
        <w:numPr>
          <w:ilvl w:val="0"/>
          <w:numId w:val="3"/>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This GAVI co-financing support will decline from 80% to zero over four years following vaccine introduction, at which point Georgia will cover the full cost of the vaccine</w:t>
      </w:r>
    </w:p>
    <w:p w:rsidR="002146C8" w:rsidRPr="00AF459E" w:rsidRDefault="002146C8" w:rsidP="002146C8">
      <w:pPr>
        <w:pStyle w:val="ListParagraph"/>
        <w:numPr>
          <w:ilvl w:val="0"/>
          <w:numId w:val="3"/>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Georgia will procure all of its vaccines except for rabies and immunoglobulin using UNICEF SD procurement services, thereby benefitting from UNICEF’s combination of good prices and high quality products (situation in the past?).  UNICEF prices were therefore applied not only for the GAVI co-financed vaccines (pentavalent, rotavirus, and pneumo), but also for “traditional” vaccines (BCG, polio</w:t>
      </w:r>
      <w:proofErr w:type="gramStart"/>
      <w:r w:rsidRPr="00AF459E">
        <w:rPr>
          <w:rFonts w:asciiTheme="minorHAnsi" w:hAnsiTheme="minorHAnsi" w:cstheme="minorHAnsi"/>
          <w:sz w:val="22"/>
          <w:szCs w:val="20"/>
        </w:rPr>
        <w:t>,  DTP</w:t>
      </w:r>
      <w:proofErr w:type="gramEnd"/>
      <w:r w:rsidRPr="00AF459E">
        <w:rPr>
          <w:rFonts w:asciiTheme="minorHAnsi" w:hAnsiTheme="minorHAnsi" w:cstheme="minorHAnsi"/>
          <w:sz w:val="22"/>
          <w:szCs w:val="20"/>
        </w:rPr>
        <w:t xml:space="preserve"> and tetanus/diptheria) and for other basic vaccines in the Georgia immunization schedule (measles/mumps/rubella).</w:t>
      </w:r>
    </w:p>
    <w:p w:rsidR="002146C8" w:rsidRPr="00AF459E" w:rsidRDefault="002146C8" w:rsidP="002146C8">
      <w:pPr>
        <w:pStyle w:val="ListParagraph"/>
        <w:numPr>
          <w:ilvl w:val="0"/>
          <w:numId w:val="3"/>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For rabies and immunoglobulin, Georgia will self-procure quality vaccines at the prices levels obtained in 2011 for these two products.</w:t>
      </w:r>
    </w:p>
    <w:p w:rsidR="002146C8" w:rsidRPr="00AF459E" w:rsidRDefault="002146C8" w:rsidP="002146C8">
      <w:pPr>
        <w:pStyle w:val="ListParagraph"/>
        <w:numPr>
          <w:ilvl w:val="0"/>
          <w:numId w:val="3"/>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The Georgian economy will grow at the rates published by the International Monetary Fund: 6.1% in 2012 and 5.5% from 2013 to 2020; and the government’s health budget will increase annually at the same rate as overall GDP growth</w:t>
      </w:r>
    </w:p>
    <w:p w:rsidR="002146C8" w:rsidRPr="00AF459E" w:rsidRDefault="002146C8" w:rsidP="002146C8">
      <w:pPr>
        <w:spacing w:after="120"/>
        <w:jc w:val="both"/>
        <w:rPr>
          <w:rFonts w:cstheme="minorHAnsi"/>
          <w:szCs w:val="20"/>
        </w:rPr>
      </w:pPr>
      <w:r w:rsidRPr="00AF459E">
        <w:rPr>
          <w:rFonts w:cstheme="minorHAnsi"/>
          <w:szCs w:val="20"/>
        </w:rPr>
        <w:t xml:space="preserve">Using these basic assumptions, the model suggests that government vaccine expenditures will nearly double over the next five years, from $1.62 million in 2012 to $3.22 million in 2017, the year in which Georgia will become fully self-sufficient as GAVI co-financing support ends.  As the graph below shows, only a very small fraction of the costs (in orange) – around $100,000 per year – will be needed for the traditional vaccines, which are very inexpensive on a per dose basis.  During 2012-17, with the introduction of rotavirus and pneumococcal vaccines and transitioning of financial responsibility for pentavalent vaccine, co-financing by the Georgia government represents a significant share of the total, peaking at $1.14 million in 2015 and amounting to $3.16 million over the five years.  The remaining costs to the government are largely due to the purchase of MMR and rabies vaccines and immunoglobulin, which absorb about $1.35 million a year over the next five years. </w:t>
      </w:r>
    </w:p>
    <w:p w:rsidR="002146C8" w:rsidRPr="00AF459E" w:rsidRDefault="002146C8" w:rsidP="002146C8">
      <w:pPr>
        <w:spacing w:after="120"/>
        <w:jc w:val="both"/>
        <w:rPr>
          <w:rFonts w:cstheme="minorHAnsi"/>
          <w:szCs w:val="20"/>
        </w:rPr>
      </w:pPr>
      <w:r w:rsidRPr="00AF459E">
        <w:rPr>
          <w:rFonts w:cstheme="minorHAnsi"/>
          <w:szCs w:val="20"/>
        </w:rPr>
        <w:t>As a proportion of government health expenditures, Georgia’s financial outlays for vaccines rise gradually from just under 0.5% to about 0.7% in 2016-17, before falling again to around 0.5% at the end of the decade as absolute vaccine spending levels off while the economy and government budget continue to expand.</w:t>
      </w:r>
    </w:p>
    <w:p w:rsidR="002146C8" w:rsidRPr="00AF459E" w:rsidRDefault="002146C8" w:rsidP="002146C8">
      <w:pPr>
        <w:spacing w:after="120"/>
        <w:jc w:val="both"/>
        <w:rPr>
          <w:rFonts w:cstheme="minorHAnsi"/>
          <w:szCs w:val="20"/>
        </w:rPr>
      </w:pPr>
      <w:r w:rsidRPr="00AF459E">
        <w:rPr>
          <w:rFonts w:cstheme="minorHAnsi"/>
          <w:szCs w:val="20"/>
        </w:rPr>
        <w:t>The key takeaways from this modeling analysis are that:</w:t>
      </w:r>
    </w:p>
    <w:p w:rsidR="002146C8" w:rsidRPr="00AF459E" w:rsidRDefault="002146C8" w:rsidP="002146C8">
      <w:pPr>
        <w:pStyle w:val="ListParagraph"/>
        <w:numPr>
          <w:ilvl w:val="0"/>
          <w:numId w:val="4"/>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Public spending on vaccines can be expected to increase sharply over the next few years, with the amount of expenditure incurred by the government doubling in five years;</w:t>
      </w:r>
    </w:p>
    <w:p w:rsidR="002146C8" w:rsidRPr="00AF459E" w:rsidRDefault="002146C8" w:rsidP="002146C8">
      <w:pPr>
        <w:pStyle w:val="ListParagraph"/>
        <w:numPr>
          <w:ilvl w:val="0"/>
          <w:numId w:val="4"/>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At the same time, Georgia should have the fiscal capacity to handle this increase without unduly straining its overall public budget for health, based on current economic forecasts, provided that the government continues to give a high priority to immunization</w:t>
      </w:r>
    </w:p>
    <w:p w:rsidR="002146C8" w:rsidRPr="00AF459E" w:rsidRDefault="002146C8" w:rsidP="002146C8">
      <w:pPr>
        <w:pStyle w:val="ListParagraph"/>
        <w:numPr>
          <w:ilvl w:val="0"/>
          <w:numId w:val="4"/>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A small number of vaccines – especially pentavalent, pneumococcal, MMR, and rabies – will account for the majority of expenditures over the coming years.  These are the vaccines that need to be procured efficiently, while maintaining high quality in product selection.</w:t>
      </w:r>
    </w:p>
    <w:p w:rsidR="002146C8" w:rsidRPr="00AF459E" w:rsidRDefault="002146C8" w:rsidP="002146C8">
      <w:pPr>
        <w:rPr>
          <w:rFonts w:eastAsia="Times New Roman" w:cstheme="minorHAnsi"/>
          <w:szCs w:val="20"/>
          <w:lang w:val="en-GB"/>
        </w:rPr>
      </w:pPr>
      <w:r w:rsidRPr="00AF459E">
        <w:rPr>
          <w:rFonts w:cstheme="minorHAnsi"/>
          <w:szCs w:val="20"/>
        </w:rPr>
        <w:br w:type="page"/>
      </w:r>
    </w:p>
    <w:p w:rsidR="002146C8" w:rsidRPr="00AF459E" w:rsidRDefault="002146C8" w:rsidP="002146C8">
      <w:pPr>
        <w:spacing w:after="120"/>
        <w:jc w:val="both"/>
        <w:rPr>
          <w:rFonts w:cstheme="minorHAnsi"/>
          <w:b/>
          <w:szCs w:val="20"/>
        </w:rPr>
      </w:pPr>
      <w:r w:rsidRPr="00AF459E">
        <w:rPr>
          <w:rFonts w:cstheme="minorHAnsi"/>
          <w:b/>
          <w:szCs w:val="20"/>
        </w:rPr>
        <w:t>Figure 1: Georgia: Projected government vaccine costs, 2012-20</w:t>
      </w:r>
    </w:p>
    <w:p w:rsidR="002146C8" w:rsidRPr="00DD098A" w:rsidRDefault="002146C8" w:rsidP="002146C8">
      <w:pPr>
        <w:spacing w:after="120"/>
        <w:jc w:val="both"/>
        <w:rPr>
          <w:rFonts w:cstheme="minorHAnsi"/>
          <w:sz w:val="20"/>
          <w:szCs w:val="20"/>
        </w:rPr>
      </w:pPr>
      <w:r w:rsidRPr="001C453A">
        <w:rPr>
          <w:rFonts w:cstheme="minorHAnsi"/>
          <w:noProof/>
          <w:sz w:val="20"/>
          <w:szCs w:val="20"/>
        </w:rPr>
        <w:drawing>
          <wp:inline distT="0" distB="0" distL="0" distR="0">
            <wp:extent cx="5939619" cy="3327637"/>
            <wp:effectExtent l="57150" t="19050" r="42081" b="6113"/>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1C453A">
        <w:rPr>
          <w:rFonts w:cstheme="minorHAnsi"/>
          <w:sz w:val="20"/>
          <w:szCs w:val="20"/>
        </w:rPr>
        <w:t xml:space="preserve"> </w:t>
      </w:r>
    </w:p>
    <w:p w:rsidR="002146C8" w:rsidRPr="006F2216" w:rsidRDefault="002146C8" w:rsidP="002146C8">
      <w:pPr>
        <w:pStyle w:val="ListParagraph"/>
        <w:numPr>
          <w:ilvl w:val="0"/>
          <w:numId w:val="12"/>
        </w:numPr>
        <w:spacing w:after="120"/>
        <w:rPr>
          <w:rFonts w:cstheme="minorHAnsi"/>
          <w:b/>
        </w:rPr>
      </w:pPr>
      <w:r w:rsidRPr="006F2216">
        <w:rPr>
          <w:rFonts w:cstheme="minorHAnsi"/>
          <w:b/>
        </w:rPr>
        <w:t>Financial planning and budgeting for immunization</w:t>
      </w:r>
    </w:p>
    <w:p w:rsidR="002146C8" w:rsidRPr="00AF459E" w:rsidRDefault="002146C8" w:rsidP="002146C8">
      <w:pPr>
        <w:spacing w:after="120"/>
        <w:jc w:val="both"/>
        <w:rPr>
          <w:rFonts w:cstheme="minorHAnsi"/>
          <w:szCs w:val="20"/>
        </w:rPr>
      </w:pPr>
      <w:r w:rsidRPr="00AF459E">
        <w:rPr>
          <w:rFonts w:cstheme="minorHAnsi"/>
          <w:szCs w:val="20"/>
        </w:rPr>
        <w:t>The process and roles and responsibilities for public sector planning and budgeting for Georgia’s national immunization plan have undergone a series of rapid changes in recent years, in line with larger institutional changes in the health sector – notably the expansion of the National Center for Disease Control (NCDC) and the recent incorporation of public funds to cover the cost of vaccination delivery by private sector providers throughout the country inside the larger insurance benefit package for all children aged 0 to 6.</w:t>
      </w:r>
    </w:p>
    <w:p w:rsidR="002146C8" w:rsidRPr="00AF459E" w:rsidRDefault="002146C8" w:rsidP="002146C8">
      <w:pPr>
        <w:spacing w:after="120"/>
        <w:jc w:val="both"/>
        <w:rPr>
          <w:rFonts w:cstheme="minorHAnsi"/>
          <w:szCs w:val="20"/>
        </w:rPr>
      </w:pPr>
      <w:r w:rsidRPr="00AF459E">
        <w:rPr>
          <w:rFonts w:cstheme="minorHAnsi"/>
          <w:szCs w:val="20"/>
        </w:rPr>
        <w:t xml:space="preserve">In 2011, the budget for procuring all vaccines was held by the Social Services Agency (SSA), a legal-constituted public body under the Ministry of Labor, Social Services, and Health which had financial responsibility both for purchasing vaccines for the “vertical” public immunization program and for paying providers a small fee of GEL 1 (the “one Lari” scheme) for each vaccination delivered.  NCDC executed the procurement of the vaccines on behalf of the SSA, and performed other technical functions such as distributing vaccines down to the level of public health centers; maintaining the cold chain to that level; and monitoring and reporting to the Ministry on the physical movement and consumption of the vaccines. </w:t>
      </w:r>
    </w:p>
    <w:p w:rsidR="002146C8" w:rsidRPr="00AF459E" w:rsidRDefault="002146C8" w:rsidP="002146C8">
      <w:pPr>
        <w:spacing w:after="120"/>
        <w:jc w:val="both"/>
        <w:rPr>
          <w:rFonts w:cstheme="minorHAnsi"/>
          <w:szCs w:val="20"/>
        </w:rPr>
      </w:pPr>
      <w:r w:rsidRPr="00AF459E">
        <w:rPr>
          <w:rFonts w:cstheme="minorHAnsi"/>
          <w:szCs w:val="20"/>
        </w:rPr>
        <w:t>But starting with 2012, financial responsibility for the national immunization program was transferred to the NCDC and its Immunization Unit.  Thus for the current year, the head of the Unit was given a “program budget of GEL 4,085 (US$ 2.48 million), divided into five areas that are listed in Table 9 below.</w:t>
      </w:r>
    </w:p>
    <w:p w:rsidR="002146C8" w:rsidRPr="00AF459E" w:rsidRDefault="002146C8" w:rsidP="002146C8">
      <w:pPr>
        <w:spacing w:after="120"/>
        <w:jc w:val="both"/>
        <w:rPr>
          <w:rFonts w:cstheme="minorHAnsi"/>
          <w:szCs w:val="20"/>
        </w:rPr>
      </w:pPr>
      <w:r w:rsidRPr="00AF459E">
        <w:rPr>
          <w:rFonts w:cstheme="minorHAnsi"/>
          <w:szCs w:val="20"/>
        </w:rPr>
        <w:t>This program budget for immunization is part of NCDC’s larger program allocation of roughly GEL 16 million for 2012, divided among a series of vertical activities including AIDS and tuberculosis control, management of communicable diseases, and maternal and child health.</w:t>
      </w:r>
    </w:p>
    <w:p w:rsidR="002146C8" w:rsidRPr="00AF459E" w:rsidRDefault="002146C8" w:rsidP="002146C8">
      <w:pPr>
        <w:spacing w:after="120"/>
        <w:jc w:val="both"/>
        <w:rPr>
          <w:rFonts w:cstheme="minorHAnsi"/>
          <w:b/>
          <w:szCs w:val="20"/>
        </w:rPr>
      </w:pPr>
      <w:r w:rsidRPr="00AF459E">
        <w:rPr>
          <w:rFonts w:cstheme="minorHAnsi"/>
          <w:b/>
          <w:szCs w:val="20"/>
        </w:rPr>
        <w:t>Table 3: Georgia: NCDC Immunization Programme budget, 2012</w:t>
      </w:r>
    </w:p>
    <w:tbl>
      <w:tblPr>
        <w:tblStyle w:val="TableGrid"/>
        <w:tblW w:w="0" w:type="auto"/>
        <w:tblInd w:w="108" w:type="dxa"/>
        <w:tblLook w:val="04A0"/>
      </w:tblPr>
      <w:tblGrid>
        <w:gridCol w:w="4950"/>
        <w:gridCol w:w="1890"/>
      </w:tblGrid>
      <w:tr w:rsidR="002146C8" w:rsidRPr="00AF459E">
        <w:tc>
          <w:tcPr>
            <w:tcW w:w="495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b/>
                <w:szCs w:val="20"/>
              </w:rPr>
            </w:pPr>
            <w:r w:rsidRPr="00AF459E">
              <w:rPr>
                <w:rFonts w:cstheme="minorHAnsi"/>
                <w:b/>
                <w:szCs w:val="20"/>
              </w:rPr>
              <w:t>Activity</w:t>
            </w:r>
          </w:p>
        </w:tc>
        <w:tc>
          <w:tcPr>
            <w:tcW w:w="189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b/>
                <w:szCs w:val="20"/>
              </w:rPr>
            </w:pPr>
            <w:r w:rsidRPr="00AF459E">
              <w:rPr>
                <w:rFonts w:cstheme="minorHAnsi"/>
                <w:b/>
                <w:szCs w:val="20"/>
              </w:rPr>
              <w:t>Budget (GEL ‘000)</w:t>
            </w:r>
          </w:p>
        </w:tc>
      </w:tr>
      <w:tr w:rsidR="002146C8" w:rsidRPr="00AF459E">
        <w:tc>
          <w:tcPr>
            <w:tcW w:w="495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szCs w:val="20"/>
              </w:rPr>
            </w:pPr>
            <w:r w:rsidRPr="00AF459E">
              <w:rPr>
                <w:rFonts w:cstheme="minorHAnsi"/>
                <w:szCs w:val="20"/>
              </w:rPr>
              <w:t>Procurement of vaccines and supplies</w:t>
            </w:r>
          </w:p>
        </w:tc>
        <w:tc>
          <w:tcPr>
            <w:tcW w:w="189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szCs w:val="20"/>
              </w:rPr>
            </w:pPr>
            <w:r w:rsidRPr="00AF459E">
              <w:rPr>
                <w:rFonts w:cstheme="minorHAnsi"/>
                <w:szCs w:val="20"/>
              </w:rPr>
              <w:t>1,650</w:t>
            </w:r>
          </w:p>
        </w:tc>
      </w:tr>
      <w:tr w:rsidR="002146C8" w:rsidRPr="00AF459E">
        <w:tc>
          <w:tcPr>
            <w:tcW w:w="495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szCs w:val="20"/>
              </w:rPr>
            </w:pPr>
            <w:r w:rsidRPr="00AF459E">
              <w:rPr>
                <w:rFonts w:cstheme="minorHAnsi"/>
                <w:szCs w:val="20"/>
              </w:rPr>
              <w:t>Procurement of specific sera and vaccines</w:t>
            </w:r>
          </w:p>
        </w:tc>
        <w:tc>
          <w:tcPr>
            <w:tcW w:w="189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szCs w:val="20"/>
              </w:rPr>
            </w:pPr>
            <w:r w:rsidRPr="00AF459E">
              <w:rPr>
                <w:rFonts w:cstheme="minorHAnsi"/>
                <w:szCs w:val="20"/>
              </w:rPr>
              <w:t>201</w:t>
            </w:r>
          </w:p>
        </w:tc>
      </w:tr>
      <w:tr w:rsidR="002146C8" w:rsidRPr="00AF459E">
        <w:tc>
          <w:tcPr>
            <w:tcW w:w="495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szCs w:val="20"/>
              </w:rPr>
            </w:pPr>
            <w:r w:rsidRPr="00AF459E">
              <w:rPr>
                <w:rFonts w:cstheme="minorHAnsi"/>
                <w:szCs w:val="20"/>
              </w:rPr>
              <w:t>Procurement of rabies vaccine and immunoglobulin</w:t>
            </w:r>
          </w:p>
        </w:tc>
        <w:tc>
          <w:tcPr>
            <w:tcW w:w="189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szCs w:val="20"/>
              </w:rPr>
            </w:pPr>
            <w:r w:rsidRPr="00AF459E">
              <w:rPr>
                <w:rFonts w:cstheme="minorHAnsi"/>
                <w:szCs w:val="20"/>
              </w:rPr>
              <w:t>1,614</w:t>
            </w:r>
          </w:p>
        </w:tc>
      </w:tr>
      <w:tr w:rsidR="002146C8" w:rsidRPr="00AF459E">
        <w:tc>
          <w:tcPr>
            <w:tcW w:w="495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szCs w:val="20"/>
              </w:rPr>
            </w:pPr>
            <w:r w:rsidRPr="00AF459E">
              <w:rPr>
                <w:rFonts w:cstheme="minorHAnsi"/>
                <w:szCs w:val="20"/>
              </w:rPr>
              <w:t>Logistics (transport, storage)</w:t>
            </w:r>
          </w:p>
        </w:tc>
        <w:tc>
          <w:tcPr>
            <w:tcW w:w="189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szCs w:val="20"/>
              </w:rPr>
            </w:pPr>
            <w:r w:rsidRPr="00AF459E">
              <w:rPr>
                <w:rFonts w:cstheme="minorHAnsi"/>
                <w:szCs w:val="20"/>
              </w:rPr>
              <w:t>120</w:t>
            </w:r>
          </w:p>
        </w:tc>
      </w:tr>
      <w:tr w:rsidR="002146C8" w:rsidRPr="00AF459E">
        <w:tc>
          <w:tcPr>
            <w:tcW w:w="495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szCs w:val="20"/>
              </w:rPr>
            </w:pPr>
            <w:r w:rsidRPr="00AF459E">
              <w:rPr>
                <w:rFonts w:cstheme="minorHAnsi"/>
                <w:szCs w:val="20"/>
              </w:rPr>
              <w:t>Vaccination services</w:t>
            </w:r>
          </w:p>
        </w:tc>
        <w:tc>
          <w:tcPr>
            <w:tcW w:w="189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szCs w:val="20"/>
              </w:rPr>
            </w:pPr>
            <w:r w:rsidRPr="00AF459E">
              <w:rPr>
                <w:rFonts w:cstheme="minorHAnsi"/>
                <w:szCs w:val="20"/>
              </w:rPr>
              <w:t>500</w:t>
            </w:r>
          </w:p>
        </w:tc>
      </w:tr>
      <w:tr w:rsidR="002146C8" w:rsidRPr="00AF459E">
        <w:tc>
          <w:tcPr>
            <w:tcW w:w="495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b/>
                <w:szCs w:val="20"/>
              </w:rPr>
            </w:pPr>
            <w:r w:rsidRPr="00AF459E">
              <w:rPr>
                <w:rFonts w:cstheme="minorHAnsi"/>
                <w:b/>
                <w:szCs w:val="20"/>
              </w:rPr>
              <w:t>TOTAL</w:t>
            </w:r>
          </w:p>
        </w:tc>
        <w:tc>
          <w:tcPr>
            <w:tcW w:w="1890" w:type="dxa"/>
            <w:tcBorders>
              <w:top w:val="single" w:sz="4" w:space="0" w:color="auto"/>
              <w:left w:val="single" w:sz="4" w:space="0" w:color="auto"/>
              <w:bottom w:val="single" w:sz="4" w:space="0" w:color="auto"/>
              <w:right w:val="single" w:sz="4" w:space="0" w:color="auto"/>
            </w:tcBorders>
          </w:tcPr>
          <w:p w:rsidR="002146C8" w:rsidRPr="00AF459E" w:rsidRDefault="002146C8" w:rsidP="004B2D6A">
            <w:pPr>
              <w:jc w:val="both"/>
              <w:rPr>
                <w:rFonts w:cstheme="minorHAnsi"/>
                <w:b/>
                <w:szCs w:val="20"/>
              </w:rPr>
            </w:pPr>
            <w:r w:rsidRPr="00AF459E">
              <w:rPr>
                <w:rFonts w:cstheme="minorHAnsi"/>
                <w:b/>
                <w:szCs w:val="20"/>
              </w:rPr>
              <w:t>4,085</w:t>
            </w:r>
          </w:p>
        </w:tc>
      </w:tr>
    </w:tbl>
    <w:p w:rsidR="002146C8" w:rsidRPr="001C453A" w:rsidRDefault="002146C8" w:rsidP="002146C8">
      <w:pPr>
        <w:spacing w:after="120"/>
        <w:jc w:val="both"/>
        <w:rPr>
          <w:rFonts w:cstheme="minorHAnsi"/>
          <w:sz w:val="20"/>
          <w:szCs w:val="20"/>
        </w:rPr>
      </w:pPr>
    </w:p>
    <w:p w:rsidR="002146C8" w:rsidRPr="00AF459E" w:rsidRDefault="002146C8" w:rsidP="002146C8">
      <w:pPr>
        <w:spacing w:after="120"/>
        <w:jc w:val="both"/>
        <w:rPr>
          <w:rFonts w:cstheme="minorHAnsi"/>
          <w:szCs w:val="20"/>
        </w:rPr>
      </w:pPr>
      <w:r w:rsidRPr="00AF459E">
        <w:rPr>
          <w:rFonts w:cstheme="minorHAnsi"/>
          <w:szCs w:val="20"/>
        </w:rPr>
        <w:t>In addition, the Immunization Unit of CNDC has a notional budget to cover its “administrative” costs – personnel, per-diems, building space and utilities – within the larger NCDC budget of approximately GEL 4 million a year.</w:t>
      </w:r>
    </w:p>
    <w:p w:rsidR="002146C8" w:rsidRPr="00AF459E" w:rsidRDefault="002146C8" w:rsidP="002146C8">
      <w:pPr>
        <w:spacing w:after="120"/>
        <w:jc w:val="both"/>
        <w:rPr>
          <w:rFonts w:cstheme="minorHAnsi"/>
          <w:szCs w:val="20"/>
        </w:rPr>
      </w:pPr>
      <w:r w:rsidRPr="00AF459E">
        <w:rPr>
          <w:rFonts w:cstheme="minorHAnsi"/>
          <w:szCs w:val="20"/>
        </w:rPr>
        <w:t>The GAVI/WHO/UNICEF joint team was informed that the annual program budget of the NCDC’s immunization unit had been earmarked GEL 5,200 million in the medium term expenditure estimates of the Ministry for 2013, an increase of 27% more than in 2012.  This is even more generous if it turns out that the 2013 allocation for the immunization unit does not have to cover payments to providers of immunization services, which are in theory to be included in the government’s capitation for the insurance package to be delivered by private providers starting in September.</w:t>
      </w:r>
    </w:p>
    <w:p w:rsidR="002146C8" w:rsidRPr="00AF459E" w:rsidRDefault="002146C8" w:rsidP="002146C8">
      <w:pPr>
        <w:spacing w:after="120"/>
        <w:jc w:val="both"/>
        <w:rPr>
          <w:rFonts w:cstheme="minorHAnsi"/>
          <w:szCs w:val="20"/>
        </w:rPr>
      </w:pPr>
      <w:r w:rsidRPr="00AF459E">
        <w:rPr>
          <w:rFonts w:cstheme="minorHAnsi"/>
          <w:szCs w:val="20"/>
        </w:rPr>
        <w:t>The process and timetable for financial planning and budgeting for immunization appear to be along the following lines:</w:t>
      </w:r>
    </w:p>
    <w:p w:rsidR="002146C8" w:rsidRPr="00AF459E" w:rsidRDefault="002146C8" w:rsidP="002146C8">
      <w:pPr>
        <w:pStyle w:val="ListParagraph"/>
        <w:numPr>
          <w:ilvl w:val="0"/>
          <w:numId w:val="5"/>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March-April: Immunization Unit (IU) develops its administrative budget which is consolidated with the full NCDC admin budget, plus its program budget for all other items – and sends this to NDCD management for negotiation and approval</w:t>
      </w:r>
    </w:p>
    <w:p w:rsidR="002146C8" w:rsidRPr="00AF459E" w:rsidRDefault="002146C8" w:rsidP="002146C8">
      <w:pPr>
        <w:pStyle w:val="ListParagraph"/>
        <w:numPr>
          <w:ilvl w:val="0"/>
          <w:numId w:val="5"/>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 xml:space="preserve">May: NCDC sends both its administration and </w:t>
      </w:r>
      <w:proofErr w:type="gramStart"/>
      <w:r w:rsidRPr="00AF459E">
        <w:rPr>
          <w:rFonts w:asciiTheme="minorHAnsi" w:hAnsiTheme="minorHAnsi" w:cstheme="minorHAnsi"/>
          <w:sz w:val="22"/>
          <w:szCs w:val="20"/>
        </w:rPr>
        <w:t>program  budgets</w:t>
      </w:r>
      <w:proofErr w:type="gramEnd"/>
      <w:r w:rsidRPr="00AF459E">
        <w:rPr>
          <w:rFonts w:asciiTheme="minorHAnsi" w:hAnsiTheme="minorHAnsi" w:cstheme="minorHAnsi"/>
          <w:sz w:val="22"/>
          <w:szCs w:val="20"/>
        </w:rPr>
        <w:t>, including the latter for immunization, to the Ministry of Labor, Social Services, and Health (MoLHSA)</w:t>
      </w:r>
    </w:p>
    <w:p w:rsidR="002146C8" w:rsidRPr="00AF459E" w:rsidRDefault="002146C8" w:rsidP="002146C8">
      <w:pPr>
        <w:pStyle w:val="ListParagraph"/>
        <w:numPr>
          <w:ilvl w:val="0"/>
          <w:numId w:val="5"/>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June-August: The Health section of MoLHSA reviews the NCDC budget and passes it on to the Financial section of MoLHSA; regarding the immunization program budget, there may be some discussions back and forth involving the Health section, Finance section, and NCDC’s IU</w:t>
      </w:r>
    </w:p>
    <w:p w:rsidR="002146C8" w:rsidRPr="00AF459E" w:rsidRDefault="002146C8" w:rsidP="002146C8">
      <w:pPr>
        <w:pStyle w:val="ListParagraph"/>
        <w:numPr>
          <w:ilvl w:val="0"/>
          <w:numId w:val="5"/>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September: MoLHSA sends its final budget to the Ministry of Finance</w:t>
      </w:r>
    </w:p>
    <w:p w:rsidR="002146C8" w:rsidRPr="00AF459E" w:rsidRDefault="002146C8" w:rsidP="002146C8">
      <w:pPr>
        <w:pStyle w:val="ListParagraph"/>
        <w:numPr>
          <w:ilvl w:val="0"/>
          <w:numId w:val="5"/>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October: Ministry of Finance sends full “state budget” to the Parliament</w:t>
      </w:r>
    </w:p>
    <w:p w:rsidR="002146C8" w:rsidRPr="00AF459E" w:rsidRDefault="002146C8" w:rsidP="002146C8">
      <w:pPr>
        <w:pStyle w:val="ListParagraph"/>
        <w:numPr>
          <w:ilvl w:val="0"/>
          <w:numId w:val="5"/>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November: Parliament approves the “state budget”</w:t>
      </w:r>
    </w:p>
    <w:p w:rsidR="002146C8" w:rsidRPr="00AF459E" w:rsidRDefault="002146C8" w:rsidP="002146C8">
      <w:pPr>
        <w:spacing w:after="120"/>
        <w:jc w:val="both"/>
        <w:rPr>
          <w:rFonts w:cstheme="minorHAnsi"/>
          <w:szCs w:val="20"/>
        </w:rPr>
      </w:pPr>
      <w:r w:rsidRPr="00AF459E">
        <w:rPr>
          <w:rFonts w:cstheme="minorHAnsi"/>
          <w:szCs w:val="20"/>
        </w:rPr>
        <w:t>In the case of the immunization program, once the state budget is formally approved, the IU within NCDC receives a nominal budget with a breakdown along the lines of the five areas shown above for 2012.  But there is a major caveat in all of this – it is only in November that the IU begins the process of developing its detailed estimates of the quantities and prices of the vaccines that it has to procure for the following year.  Procurement, either through UNICEF or self-procurement in the case of a few vaccines like rabies, takes place during the first half of the following year.  It is only at this time that the exact cost of the vaccines under several of the lines in the IU budget is known with precision.</w:t>
      </w:r>
    </w:p>
    <w:p w:rsidR="002146C8" w:rsidRPr="00AF459E" w:rsidRDefault="002146C8" w:rsidP="002146C8">
      <w:pPr>
        <w:spacing w:after="120"/>
        <w:jc w:val="both"/>
        <w:rPr>
          <w:rFonts w:cstheme="minorHAnsi"/>
          <w:szCs w:val="20"/>
        </w:rPr>
      </w:pPr>
      <w:r w:rsidRPr="00AF459E">
        <w:rPr>
          <w:rFonts w:cstheme="minorHAnsi"/>
          <w:szCs w:val="20"/>
        </w:rPr>
        <w:t>The GAVI/WHO/UNICEF joint team was informed that the MoLHSA and the MoF understand that the amounts allocated for vaccine purchase in the budget are only approximations, and that the IU may have to come back to the MoLHSA to requests upward or downward adjustments during the year.  So far, this process does not appear to have led to significant problems.</w:t>
      </w:r>
    </w:p>
    <w:p w:rsidR="002146C8" w:rsidRPr="00AF459E" w:rsidRDefault="002146C8" w:rsidP="002146C8">
      <w:pPr>
        <w:spacing w:after="120"/>
        <w:jc w:val="both"/>
        <w:rPr>
          <w:rFonts w:cstheme="minorHAnsi"/>
          <w:szCs w:val="20"/>
        </w:rPr>
      </w:pPr>
      <w:r w:rsidRPr="00AF459E">
        <w:rPr>
          <w:rFonts w:cstheme="minorHAnsi"/>
          <w:szCs w:val="20"/>
        </w:rPr>
        <w:t>The IU’s program budget is then made available to the Unit on a quarterly basis.  This seems to be happening in a timely way for purposes of actual expenditure by the IU.  The MoLHSA is also willing to adjust the amount of the quarterly budget releases upward or downward to meet the actual needs of the IU, for example “frontloading” funds so that e.g., UNICEF or local vaccine suppliers can be paid in a timely manner.</w:t>
      </w:r>
    </w:p>
    <w:p w:rsidR="002146C8" w:rsidRPr="00AF459E" w:rsidRDefault="002146C8" w:rsidP="002146C8">
      <w:pPr>
        <w:spacing w:after="120"/>
        <w:jc w:val="both"/>
        <w:rPr>
          <w:rFonts w:cstheme="minorHAnsi"/>
          <w:szCs w:val="20"/>
        </w:rPr>
      </w:pPr>
      <w:r w:rsidRPr="00AF459E">
        <w:rPr>
          <w:rFonts w:cstheme="minorHAnsi"/>
          <w:szCs w:val="20"/>
        </w:rPr>
        <w:t>While this financial planning, budgeting, and execution process appears to have a number of positive features, highlighted above, it also seems to have experienced some problems that need to be addressed:</w:t>
      </w:r>
    </w:p>
    <w:p w:rsidR="002146C8" w:rsidRPr="00AF459E" w:rsidRDefault="002146C8" w:rsidP="002146C8">
      <w:pPr>
        <w:pStyle w:val="ListParagraph"/>
        <w:numPr>
          <w:ilvl w:val="0"/>
          <w:numId w:val="6"/>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 xml:space="preserve">The exact </w:t>
      </w:r>
      <w:proofErr w:type="gramStart"/>
      <w:r w:rsidRPr="00AF459E">
        <w:rPr>
          <w:rFonts w:asciiTheme="minorHAnsi" w:hAnsiTheme="minorHAnsi" w:cstheme="minorHAnsi"/>
          <w:sz w:val="22"/>
          <w:szCs w:val="20"/>
        </w:rPr>
        <w:t>calendar for each step and the roles and responsibilities of each party (IU manager, NCDC director, heads of the MoLHSA health section and finance section) have</w:t>
      </w:r>
      <w:proofErr w:type="gramEnd"/>
      <w:r w:rsidRPr="00AF459E">
        <w:rPr>
          <w:rFonts w:asciiTheme="minorHAnsi" w:hAnsiTheme="minorHAnsi" w:cstheme="minorHAnsi"/>
          <w:sz w:val="22"/>
          <w:szCs w:val="20"/>
        </w:rPr>
        <w:t xml:space="preserve"> not been explicitly spelled out in an operational protocol.  With all of the organizational change in the Georgian public sector, plus turnover of individual personnel, there seems to be some loss of institutional memory in this area, which could cause avoidable confusion and delays</w:t>
      </w:r>
    </w:p>
    <w:p w:rsidR="002146C8" w:rsidRPr="00AF459E" w:rsidRDefault="002146C8" w:rsidP="002146C8">
      <w:pPr>
        <w:pStyle w:val="ListParagraph"/>
        <w:numPr>
          <w:ilvl w:val="0"/>
          <w:numId w:val="6"/>
        </w:numPr>
        <w:spacing w:after="120" w:line="276" w:lineRule="auto"/>
        <w:contextualSpacing/>
        <w:rPr>
          <w:rFonts w:asciiTheme="minorHAnsi" w:hAnsiTheme="minorHAnsi" w:cstheme="minorHAnsi"/>
          <w:sz w:val="22"/>
          <w:szCs w:val="20"/>
        </w:rPr>
      </w:pPr>
      <w:r w:rsidRPr="00AF459E">
        <w:rPr>
          <w:rFonts w:asciiTheme="minorHAnsi" w:hAnsiTheme="minorHAnsi" w:cstheme="minorHAnsi"/>
          <w:sz w:val="22"/>
          <w:szCs w:val="20"/>
        </w:rPr>
        <w:t>The administrative budget and program budgets of the IU, while loosely connected, are not fully integrated.  There is a chance that the administrative budget could turn out to be too large or too small to support the effective implementation of the national immunization program, especially if the IU is assigned different responsibilities in the run-up to a new financial year</w:t>
      </w:r>
    </w:p>
    <w:p w:rsidR="00A9339D" w:rsidRPr="002146C8" w:rsidRDefault="002146C8" w:rsidP="002146C8">
      <w:pPr>
        <w:pStyle w:val="ListParagraph"/>
        <w:numPr>
          <w:ilvl w:val="0"/>
          <w:numId w:val="6"/>
        </w:numPr>
        <w:spacing w:after="120" w:line="276" w:lineRule="auto"/>
        <w:contextualSpacing/>
        <w:rPr>
          <w:rFonts w:cstheme="minorHAnsi"/>
          <w:b/>
          <w:sz w:val="20"/>
          <w:szCs w:val="20"/>
        </w:rPr>
      </w:pPr>
      <w:r w:rsidRPr="00AF459E">
        <w:rPr>
          <w:rFonts w:asciiTheme="minorHAnsi" w:hAnsiTheme="minorHAnsi" w:cstheme="minorHAnsi"/>
          <w:sz w:val="22"/>
          <w:szCs w:val="20"/>
        </w:rPr>
        <w:t>The current IU budget does not contain funds for essential and catalytic activities, including immunization training, supervision of lower level facilities outside of the capital, monitoring, and communications.  Given the many changes occurring along with the introduction of new vaccines and significant lingering doubts among parents and medical professionals about the quality and safety of government-procured vaccines in Georgia</w:t>
      </w:r>
      <w:proofErr w:type="gramStart"/>
      <w:r w:rsidRPr="00AF459E">
        <w:rPr>
          <w:rFonts w:asciiTheme="minorHAnsi" w:hAnsiTheme="minorHAnsi" w:cstheme="minorHAnsi"/>
          <w:sz w:val="22"/>
          <w:szCs w:val="20"/>
        </w:rPr>
        <w:t>,  a</w:t>
      </w:r>
      <w:proofErr w:type="gramEnd"/>
      <w:r w:rsidRPr="00AF459E">
        <w:rPr>
          <w:rFonts w:asciiTheme="minorHAnsi" w:hAnsiTheme="minorHAnsi" w:cstheme="minorHAnsi"/>
          <w:sz w:val="22"/>
          <w:szCs w:val="20"/>
        </w:rPr>
        <w:t xml:space="preserve"> more robust budget for these essential and catalytic “supporting” activities would seem to be well justified.  In earlier years, donor paid for these activities, but the prospects for this continuing in the future are low.</w:t>
      </w:r>
    </w:p>
    <w:p w:rsidR="002146C8" w:rsidRPr="001C453A" w:rsidRDefault="002146C8" w:rsidP="002146C8">
      <w:pPr>
        <w:rPr>
          <w:rFonts w:cstheme="minorHAnsi"/>
          <w:sz w:val="20"/>
          <w:szCs w:val="20"/>
        </w:rPr>
      </w:pPr>
    </w:p>
    <w:p w:rsidR="00753828" w:rsidRPr="001C453A" w:rsidRDefault="00753828" w:rsidP="00A9339D">
      <w:pPr>
        <w:spacing w:after="120"/>
        <w:jc w:val="both"/>
        <w:rPr>
          <w:rFonts w:cstheme="minorHAnsi"/>
          <w:sz w:val="20"/>
          <w:szCs w:val="20"/>
        </w:rPr>
      </w:pPr>
    </w:p>
    <w:sectPr w:rsidR="00753828" w:rsidRPr="001C453A" w:rsidSect="00F2295C">
      <w:footerReference w:type="default" r:id="rId10"/>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73A93" w:rsidRDefault="00173A93" w:rsidP="002F6EA6">
      <w:pPr>
        <w:spacing w:after="0" w:line="240" w:lineRule="auto"/>
      </w:pPr>
      <w:r>
        <w:separator/>
      </w:r>
    </w:p>
  </w:endnote>
  <w:endnote w:type="continuationSeparator" w:id="1">
    <w:p w:rsidR="00173A93" w:rsidRDefault="00173A93" w:rsidP="002F6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2890176"/>
      <w:docPartObj>
        <w:docPartGallery w:val="Page Numbers (Bottom of Page)"/>
        <w:docPartUnique/>
      </w:docPartObj>
    </w:sdtPr>
    <w:sdtContent>
      <w:p w:rsidR="00AA3E08" w:rsidRDefault="00AC6093">
        <w:pPr>
          <w:pStyle w:val="Footer"/>
          <w:jc w:val="right"/>
        </w:pPr>
        <w:fldSimple w:instr=" PAGE   \* MERGEFORMAT ">
          <w:r w:rsidR="002373BE">
            <w:rPr>
              <w:noProof/>
              <w:sz w:val="16"/>
              <w:szCs w:val="16"/>
            </w:rPr>
            <w:t>1</w:t>
          </w:r>
        </w:fldSimple>
      </w:p>
    </w:sdtContent>
  </w:sdt>
  <w:p w:rsidR="00AA3E08" w:rsidRDefault="00AA3E0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73A93" w:rsidRDefault="00173A93" w:rsidP="002F6EA6">
      <w:pPr>
        <w:spacing w:after="0" w:line="240" w:lineRule="auto"/>
      </w:pPr>
      <w:r>
        <w:separator/>
      </w:r>
    </w:p>
  </w:footnote>
  <w:footnote w:type="continuationSeparator" w:id="1">
    <w:p w:rsidR="00173A93" w:rsidRDefault="00173A93" w:rsidP="002F6EA6">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3B4538"/>
    <w:multiLevelType w:val="hybridMultilevel"/>
    <w:tmpl w:val="4DF8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67171"/>
    <w:multiLevelType w:val="hybridMultilevel"/>
    <w:tmpl w:val="83608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5DC19D3"/>
    <w:multiLevelType w:val="multilevel"/>
    <w:tmpl w:val="FA1CA8C2"/>
    <w:styleLink w:val="cMYPheading"/>
    <w:lvl w:ilvl="0">
      <w:start w:val="5"/>
      <w:numFmt w:val="decimal"/>
      <w:lvlText w:val="%1."/>
      <w:lvlJc w:val="left"/>
      <w:pPr>
        <w:tabs>
          <w:tab w:val="num" w:pos="454"/>
        </w:tabs>
        <w:ind w:left="454" w:hanging="454"/>
      </w:pPr>
      <w:rPr>
        <w:rFonts w:cs="Times New Roman"/>
      </w:rPr>
    </w:lvl>
    <w:lvl w:ilvl="1">
      <w:start w:val="1"/>
      <w:numFmt w:val="decimal"/>
      <w:pStyle w:val="Heading2"/>
      <w:lvlText w:val="%1.%2"/>
      <w:lvlJc w:val="left"/>
      <w:pPr>
        <w:tabs>
          <w:tab w:val="num" w:pos="624"/>
        </w:tabs>
        <w:ind w:left="624" w:hanging="624"/>
      </w:pPr>
      <w:rPr>
        <w:rFonts w:cs="Times New Roman"/>
      </w:rPr>
    </w:lvl>
    <w:lvl w:ilvl="2">
      <w:start w:val="1"/>
      <w:numFmt w:val="decimal"/>
      <w:lvlText w:val="%1.%2.%3"/>
      <w:lvlJc w:val="left"/>
      <w:pPr>
        <w:tabs>
          <w:tab w:val="num" w:pos="624"/>
        </w:tabs>
        <w:ind w:left="624" w:hanging="624"/>
      </w:pPr>
      <w:rPr>
        <w:rFonts w:cs="Times New Roman"/>
      </w:rPr>
    </w:lvl>
    <w:lvl w:ilvl="3">
      <w:start w:val="1"/>
      <w:numFmt w:val="decimal"/>
      <w:lvlText w:val="%1.%2.%3.%4"/>
      <w:lvlJc w:val="left"/>
      <w:pPr>
        <w:tabs>
          <w:tab w:val="num" w:pos="624"/>
        </w:tabs>
        <w:ind w:left="624" w:hanging="624"/>
      </w:pPr>
      <w:rPr>
        <w:rFonts w:cs="Times New Roman"/>
      </w:rPr>
    </w:lvl>
    <w:lvl w:ilvl="4">
      <w:start w:val="1"/>
      <w:numFmt w:val="lowerLetter"/>
      <w:lvlText w:val="(%5)"/>
      <w:lvlJc w:val="left"/>
      <w:pPr>
        <w:tabs>
          <w:tab w:val="num" w:pos="567"/>
        </w:tabs>
        <w:ind w:left="454" w:hanging="454"/>
      </w:pPr>
      <w:rPr>
        <w:rFonts w:cs="Times New Roman"/>
      </w:rPr>
    </w:lvl>
    <w:lvl w:ilvl="5">
      <w:start w:val="1"/>
      <w:numFmt w:val="lowerRoman"/>
      <w:lvlText w:val="(%6)"/>
      <w:lvlJc w:val="left"/>
      <w:pPr>
        <w:tabs>
          <w:tab w:val="num" w:pos="567"/>
        </w:tabs>
        <w:ind w:left="454" w:hanging="454"/>
      </w:pPr>
      <w:rPr>
        <w:rFonts w:cs="Times New Roman"/>
      </w:rPr>
    </w:lvl>
    <w:lvl w:ilvl="6">
      <w:start w:val="1"/>
      <w:numFmt w:val="decimal"/>
      <w:lvlText w:val="%7."/>
      <w:lvlJc w:val="left"/>
      <w:pPr>
        <w:tabs>
          <w:tab w:val="num" w:pos="567"/>
        </w:tabs>
        <w:ind w:left="454" w:hanging="454"/>
      </w:pPr>
      <w:rPr>
        <w:rFonts w:cs="Times New Roman"/>
      </w:rPr>
    </w:lvl>
    <w:lvl w:ilvl="7">
      <w:start w:val="1"/>
      <w:numFmt w:val="lowerLetter"/>
      <w:lvlText w:val="%8."/>
      <w:lvlJc w:val="left"/>
      <w:pPr>
        <w:tabs>
          <w:tab w:val="num" w:pos="567"/>
        </w:tabs>
        <w:ind w:left="454" w:hanging="454"/>
      </w:pPr>
      <w:rPr>
        <w:rFonts w:cs="Times New Roman"/>
      </w:rPr>
    </w:lvl>
    <w:lvl w:ilvl="8">
      <w:start w:val="1"/>
      <w:numFmt w:val="lowerRoman"/>
      <w:lvlText w:val="%9."/>
      <w:lvlJc w:val="left"/>
      <w:pPr>
        <w:tabs>
          <w:tab w:val="num" w:pos="567"/>
        </w:tabs>
        <w:ind w:left="454" w:hanging="454"/>
      </w:pPr>
      <w:rPr>
        <w:rFonts w:cs="Times New Roman"/>
      </w:rPr>
    </w:lvl>
  </w:abstractNum>
  <w:abstractNum w:abstractNumId="3">
    <w:nsid w:val="34542B12"/>
    <w:multiLevelType w:val="hybridMultilevel"/>
    <w:tmpl w:val="28DE4344"/>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4">
    <w:nsid w:val="34DB6D02"/>
    <w:multiLevelType w:val="hybridMultilevel"/>
    <w:tmpl w:val="5636E97E"/>
    <w:lvl w:ilvl="0" w:tplc="FFFFFFFF">
      <w:start w:val="1"/>
      <w:numFmt w:val="lowerLetter"/>
      <w:pStyle w:val="ListNumber"/>
      <w:lvlText w:val="%1."/>
      <w:lvlJc w:val="left"/>
      <w:pPr>
        <w:tabs>
          <w:tab w:val="num" w:pos="720"/>
        </w:tabs>
        <w:ind w:left="720" w:hanging="360"/>
      </w:pPr>
      <w:rPr>
        <w:rFonts w:cs="Times New Roman"/>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5">
    <w:nsid w:val="354B3EFC"/>
    <w:multiLevelType w:val="hybridMultilevel"/>
    <w:tmpl w:val="B568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BD1625"/>
    <w:multiLevelType w:val="hybridMultilevel"/>
    <w:tmpl w:val="72E076A0"/>
    <w:lvl w:ilvl="0" w:tplc="B20AA6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EC0979"/>
    <w:multiLevelType w:val="hybridMultilevel"/>
    <w:tmpl w:val="34B2F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5C41263"/>
    <w:multiLevelType w:val="hybridMultilevel"/>
    <w:tmpl w:val="11A2F082"/>
    <w:lvl w:ilvl="0" w:tplc="53CE84BA">
      <w:start w:val="1"/>
      <w:numFmt w:val="decimal"/>
      <w:pStyle w:val="Heading3"/>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pStyle w:val="Heading4"/>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BA2300B"/>
    <w:multiLevelType w:val="hybridMultilevel"/>
    <w:tmpl w:val="9DEC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F712AE1"/>
    <w:multiLevelType w:val="hybridMultilevel"/>
    <w:tmpl w:val="49828D3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1">
    <w:nsid w:val="687D5CDF"/>
    <w:multiLevelType w:val="hybridMultilevel"/>
    <w:tmpl w:val="5B18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num>
  <w:num w:numId="6">
    <w:abstractNumId w:val="10"/>
  </w:num>
  <w:num w:numId="7">
    <w:abstractNumId w:val="6"/>
  </w:num>
  <w:num w:numId="8">
    <w:abstractNumId w:val="8"/>
  </w:num>
  <w:num w:numId="9">
    <w:abstractNumId w:val="1"/>
  </w:num>
  <w:num w:numId="10">
    <w:abstractNumId w:val="11"/>
  </w:num>
  <w:num w:numId="11">
    <w:abstractNumId w:val="5"/>
  </w:num>
  <w:num w:numId="12">
    <w:abstractNumId w:val="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rsids>
    <w:rsidRoot w:val="009575AB"/>
    <w:rsid w:val="000357D5"/>
    <w:rsid w:val="00054017"/>
    <w:rsid w:val="00062AD6"/>
    <w:rsid w:val="000A18DE"/>
    <w:rsid w:val="00107AD6"/>
    <w:rsid w:val="001170DB"/>
    <w:rsid w:val="001362CD"/>
    <w:rsid w:val="00173A93"/>
    <w:rsid w:val="00175629"/>
    <w:rsid w:val="0018732D"/>
    <w:rsid w:val="001B0330"/>
    <w:rsid w:val="001B0E4E"/>
    <w:rsid w:val="001C453A"/>
    <w:rsid w:val="001C4700"/>
    <w:rsid w:val="001D6FBB"/>
    <w:rsid w:val="001E40FB"/>
    <w:rsid w:val="002104B7"/>
    <w:rsid w:val="002146C8"/>
    <w:rsid w:val="00224C55"/>
    <w:rsid w:val="002373BE"/>
    <w:rsid w:val="002930FB"/>
    <w:rsid w:val="002F5428"/>
    <w:rsid w:val="002F6EA6"/>
    <w:rsid w:val="00313AC9"/>
    <w:rsid w:val="0031465B"/>
    <w:rsid w:val="00337C75"/>
    <w:rsid w:val="00354AF8"/>
    <w:rsid w:val="00362A76"/>
    <w:rsid w:val="003713B6"/>
    <w:rsid w:val="0038600E"/>
    <w:rsid w:val="003911C0"/>
    <w:rsid w:val="003A2ACC"/>
    <w:rsid w:val="0041352B"/>
    <w:rsid w:val="0043435C"/>
    <w:rsid w:val="00453A81"/>
    <w:rsid w:val="00467E85"/>
    <w:rsid w:val="00475A28"/>
    <w:rsid w:val="004844CB"/>
    <w:rsid w:val="00491020"/>
    <w:rsid w:val="004B2447"/>
    <w:rsid w:val="004B3E3B"/>
    <w:rsid w:val="004C0C41"/>
    <w:rsid w:val="00514C3E"/>
    <w:rsid w:val="00536B05"/>
    <w:rsid w:val="00547DF3"/>
    <w:rsid w:val="0056791D"/>
    <w:rsid w:val="00572685"/>
    <w:rsid w:val="005C6DF2"/>
    <w:rsid w:val="006A6F28"/>
    <w:rsid w:val="006D202B"/>
    <w:rsid w:val="006F14D6"/>
    <w:rsid w:val="006F2216"/>
    <w:rsid w:val="00716A29"/>
    <w:rsid w:val="00740F82"/>
    <w:rsid w:val="00753828"/>
    <w:rsid w:val="0077531C"/>
    <w:rsid w:val="007A7ACC"/>
    <w:rsid w:val="008164CE"/>
    <w:rsid w:val="00824765"/>
    <w:rsid w:val="00832A18"/>
    <w:rsid w:val="00836D70"/>
    <w:rsid w:val="008455C3"/>
    <w:rsid w:val="0087359B"/>
    <w:rsid w:val="00935C68"/>
    <w:rsid w:val="009575AB"/>
    <w:rsid w:val="00985D8D"/>
    <w:rsid w:val="009A7ED5"/>
    <w:rsid w:val="009C7527"/>
    <w:rsid w:val="009E253F"/>
    <w:rsid w:val="00A056A9"/>
    <w:rsid w:val="00A15E8C"/>
    <w:rsid w:val="00A62615"/>
    <w:rsid w:val="00A73AFF"/>
    <w:rsid w:val="00A9339D"/>
    <w:rsid w:val="00AA3E08"/>
    <w:rsid w:val="00AC3644"/>
    <w:rsid w:val="00AC6093"/>
    <w:rsid w:val="00AF7B7B"/>
    <w:rsid w:val="00B2113A"/>
    <w:rsid w:val="00B422EC"/>
    <w:rsid w:val="00B42882"/>
    <w:rsid w:val="00B86CDA"/>
    <w:rsid w:val="00B91023"/>
    <w:rsid w:val="00C55241"/>
    <w:rsid w:val="00CF2EDC"/>
    <w:rsid w:val="00D21BF2"/>
    <w:rsid w:val="00D64738"/>
    <w:rsid w:val="00D70790"/>
    <w:rsid w:val="00D820D7"/>
    <w:rsid w:val="00D97397"/>
    <w:rsid w:val="00DB39E5"/>
    <w:rsid w:val="00DC1DE9"/>
    <w:rsid w:val="00DD098A"/>
    <w:rsid w:val="00E44E85"/>
    <w:rsid w:val="00ED050A"/>
    <w:rsid w:val="00ED3002"/>
    <w:rsid w:val="00EF401F"/>
    <w:rsid w:val="00F221D5"/>
    <w:rsid w:val="00F222A9"/>
    <w:rsid w:val="00F2295C"/>
    <w:rsid w:val="00F46996"/>
    <w:rsid w:val="00F635F2"/>
    <w:rsid w:val="00F826A0"/>
    <w:rsid w:val="00FB558D"/>
  </w:rsids>
  <m:mathPr>
    <m:mathFont m:val="Bookman Old Styl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5C"/>
  </w:style>
  <w:style w:type="paragraph" w:styleId="Heading2">
    <w:name w:val="heading 2"/>
    <w:basedOn w:val="Normal"/>
    <w:next w:val="BodyText"/>
    <w:link w:val="Heading2Char"/>
    <w:autoRedefine/>
    <w:semiHidden/>
    <w:unhideWhenUsed/>
    <w:qFormat/>
    <w:rsid w:val="002F6EA6"/>
    <w:pPr>
      <w:keepNext/>
      <w:keepLines/>
      <w:numPr>
        <w:ilvl w:val="1"/>
        <w:numId w:val="1"/>
      </w:numPr>
      <w:spacing w:before="360" w:after="120" w:line="240" w:lineRule="auto"/>
      <w:ind w:left="540"/>
      <w:outlineLvl w:val="1"/>
    </w:pPr>
    <w:rPr>
      <w:rFonts w:ascii="Times New Roman Bold" w:eastAsia="Times New Roman" w:hAnsi="Times New Roman Bold" w:cs="Times New Roman Bold"/>
      <w:b/>
      <w:bCs/>
      <w:sz w:val="28"/>
      <w:szCs w:val="28"/>
    </w:rPr>
  </w:style>
  <w:style w:type="paragraph" w:styleId="Heading3">
    <w:name w:val="heading 3"/>
    <w:basedOn w:val="Heading2"/>
    <w:next w:val="BodyText"/>
    <w:link w:val="Heading3Char"/>
    <w:autoRedefine/>
    <w:unhideWhenUsed/>
    <w:qFormat/>
    <w:rsid w:val="008455C3"/>
    <w:pPr>
      <w:numPr>
        <w:ilvl w:val="0"/>
        <w:numId w:val="8"/>
      </w:numPr>
      <w:spacing w:before="0" w:after="0" w:line="276" w:lineRule="auto"/>
      <w:jc w:val="both"/>
      <w:outlineLvl w:val="2"/>
    </w:pPr>
    <w:rPr>
      <w:rFonts w:asciiTheme="minorHAnsi" w:eastAsia="Calibri" w:hAnsiTheme="minorHAnsi" w:cstheme="minorHAnsi"/>
      <w:b w:val="0"/>
      <w:sz w:val="20"/>
      <w:szCs w:val="20"/>
    </w:rPr>
  </w:style>
  <w:style w:type="paragraph" w:styleId="Heading4">
    <w:name w:val="heading 4"/>
    <w:basedOn w:val="Heading3"/>
    <w:next w:val="BodyText"/>
    <w:link w:val="Heading4Char"/>
    <w:semiHidden/>
    <w:unhideWhenUsed/>
    <w:qFormat/>
    <w:rsid w:val="002F6EA6"/>
    <w:pPr>
      <w:numPr>
        <w:ilvl w:val="3"/>
      </w:numPr>
      <w:tabs>
        <w:tab w:val="num" w:pos="1401"/>
      </w:tabs>
      <w:spacing w:after="20"/>
      <w:ind w:left="908" w:hanging="227"/>
      <w:outlineLvl w:val="3"/>
    </w:pPr>
    <w:rPr>
      <w:color w:val="000099"/>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5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AB"/>
    <w:rPr>
      <w:rFonts w:ascii="Tahoma" w:hAnsi="Tahoma" w:cs="Tahoma"/>
      <w:sz w:val="16"/>
      <w:szCs w:val="16"/>
    </w:rPr>
  </w:style>
  <w:style w:type="paragraph" w:styleId="BodyText">
    <w:name w:val="Body Text"/>
    <w:basedOn w:val="Normal"/>
    <w:link w:val="BodyTextChar"/>
    <w:unhideWhenUsed/>
    <w:rsid w:val="002F6EA6"/>
    <w:pPr>
      <w:spacing w:before="180"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2F6EA6"/>
    <w:rPr>
      <w:rFonts w:ascii="Times New Roman" w:eastAsia="Times New Roman" w:hAnsi="Times New Roman" w:cs="Times New Roman"/>
    </w:rPr>
  </w:style>
  <w:style w:type="paragraph" w:customStyle="1" w:styleId="myHeading1">
    <w:name w:val="myHeading1"/>
    <w:basedOn w:val="Normal"/>
    <w:next w:val="BodyText"/>
    <w:rsid w:val="002F6EA6"/>
    <w:pPr>
      <w:keepNext/>
      <w:keepLines/>
      <w:spacing w:before="180" w:after="60" w:line="240" w:lineRule="auto"/>
    </w:pPr>
    <w:rPr>
      <w:rFonts w:ascii="Times New Roman" w:eastAsia="Times New Roman" w:hAnsi="Times New Roman" w:cs="Times New Roman"/>
      <w:b/>
      <w:bCs/>
      <w:color w:val="C00000"/>
    </w:rPr>
  </w:style>
  <w:style w:type="character" w:customStyle="1" w:styleId="BodyTextTChar">
    <w:name w:val="Body Text T Char"/>
    <w:basedOn w:val="DefaultParagraphFont"/>
    <w:link w:val="BodyTextT"/>
    <w:locked/>
    <w:rsid w:val="002F6EA6"/>
    <w:rPr>
      <w:rFonts w:ascii="Tahoma" w:hAnsi="Tahoma" w:cs="Tahoma"/>
      <w:sz w:val="16"/>
      <w:szCs w:val="16"/>
    </w:rPr>
  </w:style>
  <w:style w:type="paragraph" w:customStyle="1" w:styleId="BodyTextT">
    <w:name w:val="Body Text T"/>
    <w:basedOn w:val="Normal"/>
    <w:link w:val="BodyTextTChar"/>
    <w:rsid w:val="002F6EA6"/>
    <w:pPr>
      <w:spacing w:before="20" w:after="20" w:line="240" w:lineRule="auto"/>
    </w:pPr>
    <w:rPr>
      <w:rFonts w:ascii="Tahoma" w:hAnsi="Tahoma" w:cs="Tahoma"/>
      <w:sz w:val="16"/>
      <w:szCs w:val="16"/>
    </w:rPr>
  </w:style>
  <w:style w:type="paragraph" w:customStyle="1" w:styleId="ListNumbBullet">
    <w:name w:val="List Numb_Bullet"/>
    <w:basedOn w:val="ListBullet"/>
    <w:rsid w:val="002F6EA6"/>
    <w:pPr>
      <w:keepLines/>
      <w:tabs>
        <w:tab w:val="num" w:pos="465"/>
      </w:tabs>
      <w:spacing w:after="60" w:line="240" w:lineRule="auto"/>
      <w:contextualSpacing w:val="0"/>
      <w:jc w:val="both"/>
    </w:pPr>
    <w:rPr>
      <w:rFonts w:ascii="Bookman Old Style" w:eastAsia="Calibri" w:hAnsi="Bookman Old Style" w:cs="Bookman Old Style"/>
    </w:rPr>
  </w:style>
  <w:style w:type="paragraph" w:customStyle="1" w:styleId="myHeading0">
    <w:name w:val="myHeading0"/>
    <w:basedOn w:val="BodyText"/>
    <w:rsid w:val="002F6EA6"/>
    <w:pPr>
      <w:keepNext/>
      <w:spacing w:before="240" w:after="60" w:line="300" w:lineRule="exact"/>
      <w:jc w:val="both"/>
    </w:pPr>
    <w:rPr>
      <w:rFonts w:ascii="Bookman Old Style" w:eastAsia="Calibri" w:hAnsi="Bookman Old Style" w:cs="Bookman Old Style"/>
      <w:b/>
      <w:bCs/>
      <w:sz w:val="24"/>
      <w:szCs w:val="24"/>
    </w:rPr>
  </w:style>
  <w:style w:type="paragraph" w:styleId="ListBullet">
    <w:name w:val="List Bullet"/>
    <w:basedOn w:val="Normal"/>
    <w:uiPriority w:val="99"/>
    <w:semiHidden/>
    <w:unhideWhenUsed/>
    <w:rsid w:val="002F6EA6"/>
    <w:pPr>
      <w:tabs>
        <w:tab w:val="num" w:pos="397"/>
      </w:tabs>
      <w:ind w:left="397" w:hanging="397"/>
      <w:contextualSpacing/>
    </w:pPr>
  </w:style>
  <w:style w:type="character" w:customStyle="1" w:styleId="Heading2Char">
    <w:name w:val="Heading 2 Char"/>
    <w:basedOn w:val="DefaultParagraphFont"/>
    <w:link w:val="Heading2"/>
    <w:semiHidden/>
    <w:rsid w:val="002F6EA6"/>
    <w:rPr>
      <w:rFonts w:ascii="Times New Roman Bold" w:eastAsia="Times New Roman" w:hAnsi="Times New Roman Bold" w:cs="Times New Roman Bold"/>
      <w:b/>
      <w:bCs/>
      <w:sz w:val="28"/>
      <w:szCs w:val="28"/>
    </w:rPr>
  </w:style>
  <w:style w:type="character" w:customStyle="1" w:styleId="Heading3Char">
    <w:name w:val="Heading 3 Char"/>
    <w:basedOn w:val="DefaultParagraphFont"/>
    <w:link w:val="Heading3"/>
    <w:rsid w:val="008455C3"/>
    <w:rPr>
      <w:rFonts w:eastAsia="Calibri" w:cstheme="minorHAnsi"/>
      <w:bCs/>
      <w:sz w:val="20"/>
      <w:szCs w:val="20"/>
    </w:rPr>
  </w:style>
  <w:style w:type="character" w:customStyle="1" w:styleId="Heading4Char">
    <w:name w:val="Heading 4 Char"/>
    <w:basedOn w:val="DefaultParagraphFont"/>
    <w:link w:val="Heading4"/>
    <w:semiHidden/>
    <w:rsid w:val="002F6EA6"/>
    <w:rPr>
      <w:rFonts w:eastAsia="Calibri" w:cstheme="minorHAnsi"/>
      <w:bCs/>
      <w:color w:val="000099"/>
      <w:sz w:val="20"/>
      <w:szCs w:val="20"/>
    </w:rPr>
  </w:style>
  <w:style w:type="character" w:styleId="Hyperlink">
    <w:name w:val="Hyperlink"/>
    <w:basedOn w:val="DefaultParagraphFont"/>
    <w:semiHidden/>
    <w:unhideWhenUsed/>
    <w:rsid w:val="002F6EA6"/>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2F6EA6"/>
    <w:pPr>
      <w:suppressLineNumbers/>
      <w:tabs>
        <w:tab w:val="left" w:pos="227"/>
      </w:tabs>
      <w:spacing w:after="0" w:line="240" w:lineRule="auto"/>
      <w:ind w:left="227" w:hanging="227"/>
      <w:jc w:val="both"/>
    </w:pPr>
    <w:rPr>
      <w:rFonts w:ascii="Bookman Old Style" w:eastAsia="Calibri" w:hAnsi="Bookman Old Style" w:cs="Bookman Old Style"/>
      <w:sz w:val="18"/>
      <w:szCs w:val="18"/>
    </w:rPr>
  </w:style>
  <w:style w:type="character" w:customStyle="1" w:styleId="FootnoteTextChar">
    <w:name w:val="Footnote Text Char"/>
    <w:basedOn w:val="DefaultParagraphFont"/>
    <w:link w:val="FootnoteText"/>
    <w:uiPriority w:val="99"/>
    <w:rsid w:val="002F6EA6"/>
    <w:rPr>
      <w:rFonts w:ascii="Bookman Old Style" w:eastAsia="Calibri" w:hAnsi="Bookman Old Style" w:cs="Bookman Old Style"/>
      <w:sz w:val="18"/>
      <w:szCs w:val="18"/>
    </w:rPr>
  </w:style>
  <w:style w:type="paragraph" w:styleId="Caption">
    <w:name w:val="caption"/>
    <w:basedOn w:val="Normal"/>
    <w:next w:val="Normal"/>
    <w:semiHidden/>
    <w:unhideWhenUsed/>
    <w:qFormat/>
    <w:rsid w:val="002F6EA6"/>
    <w:pPr>
      <w:keepNext/>
      <w:tabs>
        <w:tab w:val="left" w:pos="851"/>
      </w:tabs>
      <w:spacing w:before="120" w:after="60" w:line="240" w:lineRule="auto"/>
      <w:ind w:left="851" w:hanging="851"/>
    </w:pPr>
    <w:rPr>
      <w:rFonts w:ascii="Times New Roman" w:eastAsia="Times New Roman" w:hAnsi="Times New Roman" w:cs="Times New Roman"/>
      <w:b/>
      <w:bCs/>
      <w:color w:val="0070C0"/>
      <w:sz w:val="18"/>
      <w:szCs w:val="18"/>
    </w:rPr>
  </w:style>
  <w:style w:type="paragraph" w:customStyle="1" w:styleId="mySource">
    <w:name w:val="mySource"/>
    <w:basedOn w:val="BodyText"/>
    <w:next w:val="BodyText"/>
    <w:autoRedefine/>
    <w:rsid w:val="003A2ACC"/>
    <w:pPr>
      <w:keepLines/>
      <w:tabs>
        <w:tab w:val="left" w:pos="1134"/>
      </w:tabs>
      <w:spacing w:before="0" w:after="0" w:line="240" w:lineRule="atLeast"/>
      <w:ind w:left="1134" w:hanging="1134"/>
      <w:jc w:val="both"/>
    </w:pPr>
    <w:rPr>
      <w:rFonts w:asciiTheme="minorHAnsi" w:eastAsia="Calibri" w:hAnsiTheme="minorHAnsi" w:cstheme="minorHAnsi"/>
      <w:i/>
      <w:iCs/>
      <w:noProof/>
      <w:kern w:val="20"/>
      <w:sz w:val="20"/>
      <w:szCs w:val="20"/>
    </w:rPr>
  </w:style>
  <w:style w:type="character" w:styleId="FootnoteReference">
    <w:name w:val="footnote reference"/>
    <w:basedOn w:val="DefaultParagraphFont"/>
    <w:uiPriority w:val="99"/>
    <w:semiHidden/>
    <w:unhideWhenUsed/>
    <w:rsid w:val="002F6EA6"/>
    <w:rPr>
      <w:rFonts w:ascii="Times New Roman" w:hAnsi="Times New Roman" w:cs="Times New Roman" w:hint="default"/>
      <w:vertAlign w:val="superscript"/>
    </w:rPr>
  </w:style>
  <w:style w:type="numbering" w:customStyle="1" w:styleId="cMYPheading">
    <w:name w:val="cMYP_heading"/>
    <w:rsid w:val="002F6EA6"/>
    <w:pPr>
      <w:numPr>
        <w:numId w:val="1"/>
      </w:numPr>
    </w:pPr>
  </w:style>
  <w:style w:type="paragraph" w:styleId="ListParagraph">
    <w:name w:val="List Paragraph"/>
    <w:basedOn w:val="Normal"/>
    <w:uiPriority w:val="99"/>
    <w:qFormat/>
    <w:rsid w:val="002F6EA6"/>
    <w:pPr>
      <w:spacing w:after="60" w:line="240" w:lineRule="auto"/>
      <w:ind w:left="720"/>
      <w:jc w:val="both"/>
    </w:pPr>
    <w:rPr>
      <w:rFonts w:ascii="Calibri" w:eastAsia="Times New Roman" w:hAnsi="Calibri" w:cs="Calibri"/>
      <w:sz w:val="24"/>
      <w:szCs w:val="24"/>
      <w:lang w:val="en-GB"/>
    </w:rPr>
  </w:style>
  <w:style w:type="paragraph" w:customStyle="1" w:styleId="ListMultiN">
    <w:name w:val="List MultiN"/>
    <w:basedOn w:val="ListNumber"/>
    <w:rsid w:val="00AF7B7B"/>
    <w:pPr>
      <w:numPr>
        <w:numId w:val="0"/>
      </w:numPr>
      <w:tabs>
        <w:tab w:val="num" w:pos="481"/>
      </w:tabs>
      <w:spacing w:after="60" w:line="240" w:lineRule="auto"/>
      <w:ind w:left="481" w:hanging="481"/>
      <w:contextualSpacing w:val="0"/>
      <w:jc w:val="both"/>
    </w:pPr>
    <w:rPr>
      <w:rFonts w:ascii="Bookman Old Style" w:eastAsia="Calibri" w:hAnsi="Bookman Old Style" w:cs="Bookman Old Style"/>
    </w:rPr>
  </w:style>
  <w:style w:type="paragraph" w:styleId="ListNumber">
    <w:name w:val="List Number"/>
    <w:basedOn w:val="Normal"/>
    <w:uiPriority w:val="99"/>
    <w:semiHidden/>
    <w:unhideWhenUsed/>
    <w:rsid w:val="00AF7B7B"/>
    <w:pPr>
      <w:numPr>
        <w:numId w:val="2"/>
      </w:numPr>
      <w:contextualSpacing/>
    </w:pPr>
  </w:style>
  <w:style w:type="paragraph" w:customStyle="1" w:styleId="Pa5">
    <w:name w:val="Pa5"/>
    <w:basedOn w:val="Normal"/>
    <w:next w:val="Normal"/>
    <w:uiPriority w:val="99"/>
    <w:rsid w:val="00ED050A"/>
    <w:pPr>
      <w:autoSpaceDE w:val="0"/>
      <w:autoSpaceDN w:val="0"/>
      <w:adjustRightInd w:val="0"/>
      <w:spacing w:after="0" w:line="241" w:lineRule="atLeast"/>
    </w:pPr>
    <w:rPr>
      <w:rFonts w:ascii="Myriad Pro" w:hAnsi="Myriad Pro"/>
      <w:sz w:val="24"/>
      <w:szCs w:val="24"/>
    </w:rPr>
  </w:style>
  <w:style w:type="paragraph" w:customStyle="1" w:styleId="Pa1">
    <w:name w:val="Pa1"/>
    <w:basedOn w:val="Normal"/>
    <w:next w:val="Normal"/>
    <w:uiPriority w:val="99"/>
    <w:rsid w:val="00ED050A"/>
    <w:pPr>
      <w:autoSpaceDE w:val="0"/>
      <w:autoSpaceDN w:val="0"/>
      <w:adjustRightInd w:val="0"/>
      <w:spacing w:after="0" w:line="211" w:lineRule="atLeast"/>
    </w:pPr>
    <w:rPr>
      <w:rFonts w:ascii="Myriad Pro" w:hAnsi="Myriad Pro"/>
      <w:sz w:val="24"/>
      <w:szCs w:val="24"/>
    </w:rPr>
  </w:style>
  <w:style w:type="paragraph" w:styleId="CommentText">
    <w:name w:val="annotation text"/>
    <w:basedOn w:val="Normal"/>
    <w:link w:val="CommentTextChar"/>
    <w:uiPriority w:val="99"/>
    <w:semiHidden/>
    <w:unhideWhenUsed/>
    <w:rsid w:val="00753828"/>
    <w:pPr>
      <w:spacing w:line="240" w:lineRule="auto"/>
    </w:pPr>
    <w:rPr>
      <w:sz w:val="20"/>
      <w:szCs w:val="20"/>
    </w:rPr>
  </w:style>
  <w:style w:type="character" w:customStyle="1" w:styleId="CommentTextChar">
    <w:name w:val="Comment Text Char"/>
    <w:basedOn w:val="DefaultParagraphFont"/>
    <w:link w:val="CommentText"/>
    <w:uiPriority w:val="99"/>
    <w:semiHidden/>
    <w:rsid w:val="00753828"/>
    <w:rPr>
      <w:sz w:val="20"/>
      <w:szCs w:val="20"/>
    </w:rPr>
  </w:style>
  <w:style w:type="character" w:styleId="CommentReference">
    <w:name w:val="annotation reference"/>
    <w:basedOn w:val="DefaultParagraphFont"/>
    <w:uiPriority w:val="99"/>
    <w:semiHidden/>
    <w:unhideWhenUsed/>
    <w:rsid w:val="00753828"/>
    <w:rPr>
      <w:sz w:val="16"/>
      <w:szCs w:val="16"/>
    </w:rPr>
  </w:style>
  <w:style w:type="table" w:styleId="TableGrid">
    <w:name w:val="Table Grid"/>
    <w:basedOn w:val="TableNormal"/>
    <w:uiPriority w:val="59"/>
    <w:rsid w:val="00753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B558D"/>
    <w:rPr>
      <w:b/>
      <w:bCs/>
    </w:rPr>
  </w:style>
  <w:style w:type="character" w:customStyle="1" w:styleId="CommentSubjectChar">
    <w:name w:val="Comment Subject Char"/>
    <w:basedOn w:val="CommentTextChar"/>
    <w:link w:val="CommentSubject"/>
    <w:uiPriority w:val="99"/>
    <w:semiHidden/>
    <w:rsid w:val="00FB558D"/>
    <w:rPr>
      <w:b/>
      <w:bCs/>
      <w:sz w:val="20"/>
      <w:szCs w:val="20"/>
    </w:rPr>
  </w:style>
  <w:style w:type="paragraph" w:styleId="Header">
    <w:name w:val="header"/>
    <w:basedOn w:val="Normal"/>
    <w:link w:val="HeaderChar"/>
    <w:uiPriority w:val="99"/>
    <w:semiHidden/>
    <w:unhideWhenUsed/>
    <w:rsid w:val="00A933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39D"/>
  </w:style>
  <w:style w:type="paragraph" w:styleId="Footer">
    <w:name w:val="footer"/>
    <w:basedOn w:val="Normal"/>
    <w:link w:val="FooterChar"/>
    <w:uiPriority w:val="99"/>
    <w:unhideWhenUsed/>
    <w:rsid w:val="00A93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5C"/>
  </w:style>
  <w:style w:type="paragraph" w:styleId="Heading2">
    <w:name w:val="heading 2"/>
    <w:basedOn w:val="Normal"/>
    <w:next w:val="BodyText"/>
    <w:link w:val="Heading2Char"/>
    <w:autoRedefine/>
    <w:semiHidden/>
    <w:unhideWhenUsed/>
    <w:qFormat/>
    <w:rsid w:val="002F6EA6"/>
    <w:pPr>
      <w:keepNext/>
      <w:keepLines/>
      <w:numPr>
        <w:ilvl w:val="1"/>
        <w:numId w:val="2"/>
      </w:numPr>
      <w:spacing w:before="360" w:after="120" w:line="240" w:lineRule="auto"/>
      <w:ind w:left="540" w:hanging="360"/>
      <w:outlineLvl w:val="1"/>
    </w:pPr>
    <w:rPr>
      <w:rFonts w:ascii="Times New Roman Bold" w:eastAsia="Times New Roman" w:hAnsi="Times New Roman Bold" w:cs="Times New Roman Bold"/>
      <w:b/>
      <w:bCs/>
      <w:sz w:val="28"/>
      <w:szCs w:val="28"/>
    </w:rPr>
  </w:style>
  <w:style w:type="paragraph" w:styleId="Heading3">
    <w:name w:val="heading 3"/>
    <w:basedOn w:val="Heading2"/>
    <w:next w:val="BodyText"/>
    <w:link w:val="Heading3Char"/>
    <w:autoRedefine/>
    <w:unhideWhenUsed/>
    <w:qFormat/>
    <w:rsid w:val="008455C3"/>
    <w:pPr>
      <w:numPr>
        <w:ilvl w:val="0"/>
        <w:numId w:val="48"/>
      </w:numPr>
      <w:spacing w:before="0" w:after="0" w:line="276" w:lineRule="auto"/>
      <w:jc w:val="both"/>
      <w:outlineLvl w:val="2"/>
    </w:pPr>
    <w:rPr>
      <w:rFonts w:asciiTheme="minorHAnsi" w:eastAsia="Calibri" w:hAnsiTheme="minorHAnsi" w:cstheme="minorHAnsi"/>
      <w:b w:val="0"/>
      <w:sz w:val="20"/>
      <w:szCs w:val="20"/>
    </w:rPr>
  </w:style>
  <w:style w:type="paragraph" w:styleId="Heading4">
    <w:name w:val="heading 4"/>
    <w:basedOn w:val="Heading3"/>
    <w:next w:val="BodyText"/>
    <w:link w:val="Heading4Char"/>
    <w:semiHidden/>
    <w:unhideWhenUsed/>
    <w:qFormat/>
    <w:rsid w:val="002F6EA6"/>
    <w:pPr>
      <w:numPr>
        <w:ilvl w:val="3"/>
      </w:numPr>
      <w:tabs>
        <w:tab w:val="num" w:pos="1401"/>
      </w:tabs>
      <w:spacing w:after="20"/>
      <w:ind w:left="908" w:hanging="227"/>
      <w:outlineLvl w:val="3"/>
    </w:pPr>
    <w:rPr>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AB"/>
    <w:rPr>
      <w:rFonts w:ascii="Tahoma" w:hAnsi="Tahoma" w:cs="Tahoma"/>
      <w:sz w:val="16"/>
      <w:szCs w:val="16"/>
    </w:rPr>
  </w:style>
  <w:style w:type="paragraph" w:styleId="BodyText">
    <w:name w:val="Body Text"/>
    <w:basedOn w:val="Normal"/>
    <w:link w:val="BodyTextChar"/>
    <w:unhideWhenUsed/>
    <w:rsid w:val="002F6EA6"/>
    <w:pPr>
      <w:spacing w:before="180"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2F6EA6"/>
    <w:rPr>
      <w:rFonts w:ascii="Times New Roman" w:eastAsia="Times New Roman" w:hAnsi="Times New Roman" w:cs="Times New Roman"/>
    </w:rPr>
  </w:style>
  <w:style w:type="paragraph" w:customStyle="1" w:styleId="myHeading1">
    <w:name w:val="myHeading1"/>
    <w:basedOn w:val="Normal"/>
    <w:next w:val="BodyText"/>
    <w:rsid w:val="002F6EA6"/>
    <w:pPr>
      <w:keepNext/>
      <w:keepLines/>
      <w:spacing w:before="180" w:after="60" w:line="240" w:lineRule="auto"/>
    </w:pPr>
    <w:rPr>
      <w:rFonts w:ascii="Times New Roman" w:eastAsia="Times New Roman" w:hAnsi="Times New Roman" w:cs="Times New Roman"/>
      <w:b/>
      <w:bCs/>
      <w:color w:val="C00000"/>
    </w:rPr>
  </w:style>
  <w:style w:type="character" w:customStyle="1" w:styleId="BodyTextTChar">
    <w:name w:val="Body Text T Char"/>
    <w:basedOn w:val="DefaultParagraphFont"/>
    <w:link w:val="BodyTextT"/>
    <w:locked/>
    <w:rsid w:val="002F6EA6"/>
    <w:rPr>
      <w:rFonts w:ascii="Tahoma" w:hAnsi="Tahoma" w:cs="Tahoma"/>
      <w:sz w:val="16"/>
      <w:szCs w:val="16"/>
    </w:rPr>
  </w:style>
  <w:style w:type="paragraph" w:customStyle="1" w:styleId="BodyTextT">
    <w:name w:val="Body Text T"/>
    <w:basedOn w:val="Normal"/>
    <w:link w:val="BodyTextTChar"/>
    <w:rsid w:val="002F6EA6"/>
    <w:pPr>
      <w:spacing w:before="20" w:after="20" w:line="240" w:lineRule="auto"/>
    </w:pPr>
    <w:rPr>
      <w:rFonts w:ascii="Tahoma" w:hAnsi="Tahoma" w:cs="Tahoma"/>
      <w:sz w:val="16"/>
      <w:szCs w:val="16"/>
    </w:rPr>
  </w:style>
  <w:style w:type="paragraph" w:customStyle="1" w:styleId="ListNumbBullet">
    <w:name w:val="List Numb_Bullet"/>
    <w:basedOn w:val="ListBullet"/>
    <w:rsid w:val="002F6EA6"/>
    <w:pPr>
      <w:keepLines/>
      <w:tabs>
        <w:tab w:val="num" w:pos="465"/>
      </w:tabs>
      <w:spacing w:after="60" w:line="240" w:lineRule="auto"/>
      <w:contextualSpacing w:val="0"/>
      <w:jc w:val="both"/>
    </w:pPr>
    <w:rPr>
      <w:rFonts w:ascii="Bookman Old Style" w:eastAsia="Calibri" w:hAnsi="Bookman Old Style" w:cs="Bookman Old Style"/>
    </w:rPr>
  </w:style>
  <w:style w:type="paragraph" w:customStyle="1" w:styleId="myHeading0">
    <w:name w:val="myHeading0"/>
    <w:basedOn w:val="BodyText"/>
    <w:rsid w:val="002F6EA6"/>
    <w:pPr>
      <w:keepNext/>
      <w:spacing w:before="240" w:after="60" w:line="300" w:lineRule="exact"/>
      <w:jc w:val="both"/>
    </w:pPr>
    <w:rPr>
      <w:rFonts w:ascii="Bookman Old Style" w:eastAsia="Calibri" w:hAnsi="Bookman Old Style" w:cs="Bookman Old Style"/>
      <w:b/>
      <w:bCs/>
      <w:sz w:val="24"/>
      <w:szCs w:val="24"/>
    </w:rPr>
  </w:style>
  <w:style w:type="paragraph" w:styleId="ListBullet">
    <w:name w:val="List Bullet"/>
    <w:basedOn w:val="Normal"/>
    <w:uiPriority w:val="99"/>
    <w:semiHidden/>
    <w:unhideWhenUsed/>
    <w:rsid w:val="002F6EA6"/>
    <w:pPr>
      <w:tabs>
        <w:tab w:val="num" w:pos="397"/>
      </w:tabs>
      <w:ind w:left="397" w:hanging="397"/>
      <w:contextualSpacing/>
    </w:pPr>
  </w:style>
  <w:style w:type="character" w:customStyle="1" w:styleId="Heading2Char">
    <w:name w:val="Heading 2 Char"/>
    <w:basedOn w:val="DefaultParagraphFont"/>
    <w:link w:val="Heading2"/>
    <w:semiHidden/>
    <w:rsid w:val="002F6EA6"/>
    <w:rPr>
      <w:rFonts w:ascii="Times New Roman Bold" w:eastAsia="Times New Roman" w:hAnsi="Times New Roman Bold" w:cs="Times New Roman Bold"/>
      <w:b/>
      <w:bCs/>
      <w:sz w:val="28"/>
      <w:szCs w:val="28"/>
    </w:rPr>
  </w:style>
  <w:style w:type="character" w:customStyle="1" w:styleId="Heading3Char">
    <w:name w:val="Heading 3 Char"/>
    <w:basedOn w:val="DefaultParagraphFont"/>
    <w:link w:val="Heading3"/>
    <w:rsid w:val="008455C3"/>
    <w:rPr>
      <w:rFonts w:eastAsia="Calibri" w:cstheme="minorHAnsi"/>
      <w:bCs/>
      <w:sz w:val="20"/>
      <w:szCs w:val="20"/>
    </w:rPr>
  </w:style>
  <w:style w:type="character" w:customStyle="1" w:styleId="Heading4Char">
    <w:name w:val="Heading 4 Char"/>
    <w:basedOn w:val="DefaultParagraphFont"/>
    <w:link w:val="Heading4"/>
    <w:semiHidden/>
    <w:rsid w:val="002F6EA6"/>
    <w:rPr>
      <w:rFonts w:eastAsia="Calibri" w:cstheme="minorHAnsi"/>
      <w:b/>
      <w:bCs/>
      <w:color w:val="000099"/>
      <w:sz w:val="24"/>
      <w:szCs w:val="24"/>
    </w:rPr>
  </w:style>
  <w:style w:type="character" w:styleId="Hyperlink">
    <w:name w:val="Hyperlink"/>
    <w:basedOn w:val="DefaultParagraphFont"/>
    <w:semiHidden/>
    <w:unhideWhenUsed/>
    <w:rsid w:val="002F6EA6"/>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2F6EA6"/>
    <w:pPr>
      <w:suppressLineNumbers/>
      <w:tabs>
        <w:tab w:val="left" w:pos="227"/>
      </w:tabs>
      <w:spacing w:after="0" w:line="240" w:lineRule="auto"/>
      <w:ind w:left="227" w:hanging="227"/>
      <w:jc w:val="both"/>
    </w:pPr>
    <w:rPr>
      <w:rFonts w:ascii="Bookman Old Style" w:eastAsia="Calibri" w:hAnsi="Bookman Old Style" w:cs="Bookman Old Style"/>
      <w:sz w:val="18"/>
      <w:szCs w:val="18"/>
    </w:rPr>
  </w:style>
  <w:style w:type="character" w:customStyle="1" w:styleId="FootnoteTextChar">
    <w:name w:val="Footnote Text Char"/>
    <w:basedOn w:val="DefaultParagraphFont"/>
    <w:link w:val="FootnoteText"/>
    <w:uiPriority w:val="99"/>
    <w:semiHidden/>
    <w:rsid w:val="002F6EA6"/>
    <w:rPr>
      <w:rFonts w:ascii="Bookman Old Style" w:eastAsia="Calibri" w:hAnsi="Bookman Old Style" w:cs="Bookman Old Style"/>
      <w:sz w:val="18"/>
      <w:szCs w:val="18"/>
    </w:rPr>
  </w:style>
  <w:style w:type="paragraph" w:styleId="Caption">
    <w:name w:val="caption"/>
    <w:basedOn w:val="Normal"/>
    <w:next w:val="Normal"/>
    <w:semiHidden/>
    <w:unhideWhenUsed/>
    <w:qFormat/>
    <w:rsid w:val="002F6EA6"/>
    <w:pPr>
      <w:keepNext/>
      <w:tabs>
        <w:tab w:val="left" w:pos="851"/>
      </w:tabs>
      <w:spacing w:before="120" w:after="60" w:line="240" w:lineRule="auto"/>
      <w:ind w:left="851" w:hanging="851"/>
    </w:pPr>
    <w:rPr>
      <w:rFonts w:ascii="Times New Roman" w:eastAsia="Times New Roman" w:hAnsi="Times New Roman" w:cs="Times New Roman"/>
      <w:b/>
      <w:bCs/>
      <w:color w:val="0070C0"/>
      <w:sz w:val="18"/>
      <w:szCs w:val="18"/>
    </w:rPr>
  </w:style>
  <w:style w:type="paragraph" w:customStyle="1" w:styleId="mySource">
    <w:name w:val="mySource"/>
    <w:basedOn w:val="BodyText"/>
    <w:next w:val="BodyText"/>
    <w:autoRedefine/>
    <w:rsid w:val="003A2ACC"/>
    <w:pPr>
      <w:keepLines/>
      <w:tabs>
        <w:tab w:val="left" w:pos="1134"/>
      </w:tabs>
      <w:spacing w:before="0" w:after="0" w:line="240" w:lineRule="atLeast"/>
      <w:ind w:left="1134" w:hanging="1134"/>
      <w:jc w:val="both"/>
    </w:pPr>
    <w:rPr>
      <w:rFonts w:asciiTheme="minorHAnsi" w:eastAsia="Calibri" w:hAnsiTheme="minorHAnsi" w:cstheme="minorHAnsi"/>
      <w:i/>
      <w:iCs/>
      <w:noProof/>
      <w:kern w:val="20"/>
      <w:sz w:val="20"/>
      <w:szCs w:val="20"/>
    </w:rPr>
  </w:style>
  <w:style w:type="character" w:styleId="FootnoteReference">
    <w:name w:val="footnote reference"/>
    <w:basedOn w:val="DefaultParagraphFont"/>
    <w:uiPriority w:val="99"/>
    <w:semiHidden/>
    <w:unhideWhenUsed/>
    <w:rsid w:val="002F6EA6"/>
    <w:rPr>
      <w:rFonts w:ascii="Times New Roman" w:hAnsi="Times New Roman" w:cs="Times New Roman" w:hint="default"/>
      <w:vertAlign w:val="superscript"/>
    </w:rPr>
  </w:style>
  <w:style w:type="numbering" w:customStyle="1" w:styleId="cMYPheading">
    <w:name w:val="cMYP_heading"/>
    <w:rsid w:val="002F6EA6"/>
    <w:pPr>
      <w:numPr>
        <w:numId w:val="2"/>
      </w:numPr>
    </w:pPr>
  </w:style>
  <w:style w:type="paragraph" w:styleId="ListParagraph">
    <w:name w:val="List Paragraph"/>
    <w:basedOn w:val="Normal"/>
    <w:uiPriority w:val="34"/>
    <w:qFormat/>
    <w:rsid w:val="002F6EA6"/>
    <w:pPr>
      <w:spacing w:after="60" w:line="240" w:lineRule="auto"/>
      <w:ind w:left="720"/>
      <w:jc w:val="both"/>
    </w:pPr>
    <w:rPr>
      <w:rFonts w:ascii="Calibri" w:eastAsia="Times New Roman" w:hAnsi="Calibri" w:cs="Calibri"/>
      <w:sz w:val="24"/>
      <w:szCs w:val="24"/>
      <w:lang w:val="en-GB"/>
    </w:rPr>
  </w:style>
  <w:style w:type="paragraph" w:customStyle="1" w:styleId="ListMultiN">
    <w:name w:val="List MultiN"/>
    <w:basedOn w:val="ListNumber"/>
    <w:rsid w:val="00AF7B7B"/>
    <w:pPr>
      <w:numPr>
        <w:numId w:val="0"/>
      </w:numPr>
      <w:tabs>
        <w:tab w:val="num" w:pos="481"/>
      </w:tabs>
      <w:spacing w:after="60" w:line="240" w:lineRule="auto"/>
      <w:ind w:left="481" w:hanging="481"/>
      <w:contextualSpacing w:val="0"/>
      <w:jc w:val="both"/>
    </w:pPr>
    <w:rPr>
      <w:rFonts w:ascii="Bookman Old Style" w:eastAsia="Calibri" w:hAnsi="Bookman Old Style" w:cs="Bookman Old Style"/>
    </w:rPr>
  </w:style>
  <w:style w:type="paragraph" w:styleId="ListNumber">
    <w:name w:val="List Number"/>
    <w:basedOn w:val="Normal"/>
    <w:uiPriority w:val="99"/>
    <w:semiHidden/>
    <w:unhideWhenUsed/>
    <w:rsid w:val="00AF7B7B"/>
    <w:pPr>
      <w:numPr>
        <w:numId w:val="4"/>
      </w:numPr>
      <w:contextualSpacing/>
    </w:pPr>
  </w:style>
  <w:style w:type="paragraph" w:customStyle="1" w:styleId="Pa5">
    <w:name w:val="Pa5"/>
    <w:basedOn w:val="Normal"/>
    <w:next w:val="Normal"/>
    <w:uiPriority w:val="99"/>
    <w:rsid w:val="00ED050A"/>
    <w:pPr>
      <w:autoSpaceDE w:val="0"/>
      <w:autoSpaceDN w:val="0"/>
      <w:adjustRightInd w:val="0"/>
      <w:spacing w:after="0" w:line="241" w:lineRule="atLeast"/>
    </w:pPr>
    <w:rPr>
      <w:rFonts w:ascii="Myriad Pro" w:hAnsi="Myriad Pro"/>
      <w:sz w:val="24"/>
      <w:szCs w:val="24"/>
    </w:rPr>
  </w:style>
  <w:style w:type="paragraph" w:customStyle="1" w:styleId="Pa1">
    <w:name w:val="Pa1"/>
    <w:basedOn w:val="Normal"/>
    <w:next w:val="Normal"/>
    <w:uiPriority w:val="99"/>
    <w:rsid w:val="00ED050A"/>
    <w:pPr>
      <w:autoSpaceDE w:val="0"/>
      <w:autoSpaceDN w:val="0"/>
      <w:adjustRightInd w:val="0"/>
      <w:spacing w:after="0" w:line="211" w:lineRule="atLeast"/>
    </w:pPr>
    <w:rPr>
      <w:rFonts w:ascii="Myriad Pro" w:hAnsi="Myriad Pro"/>
      <w:sz w:val="24"/>
      <w:szCs w:val="24"/>
    </w:rPr>
  </w:style>
  <w:style w:type="paragraph" w:styleId="CommentText">
    <w:name w:val="annotation text"/>
    <w:basedOn w:val="Normal"/>
    <w:link w:val="CommentTextChar"/>
    <w:uiPriority w:val="99"/>
    <w:semiHidden/>
    <w:unhideWhenUsed/>
    <w:rsid w:val="00753828"/>
    <w:pPr>
      <w:spacing w:line="240" w:lineRule="auto"/>
    </w:pPr>
    <w:rPr>
      <w:sz w:val="20"/>
      <w:szCs w:val="20"/>
    </w:rPr>
  </w:style>
  <w:style w:type="character" w:customStyle="1" w:styleId="CommentTextChar">
    <w:name w:val="Comment Text Char"/>
    <w:basedOn w:val="DefaultParagraphFont"/>
    <w:link w:val="CommentText"/>
    <w:uiPriority w:val="99"/>
    <w:semiHidden/>
    <w:rsid w:val="00753828"/>
    <w:rPr>
      <w:sz w:val="20"/>
      <w:szCs w:val="20"/>
    </w:rPr>
  </w:style>
  <w:style w:type="character" w:styleId="CommentReference">
    <w:name w:val="annotation reference"/>
    <w:basedOn w:val="DefaultParagraphFont"/>
    <w:uiPriority w:val="99"/>
    <w:semiHidden/>
    <w:unhideWhenUsed/>
    <w:rsid w:val="00753828"/>
    <w:rPr>
      <w:sz w:val="16"/>
      <w:szCs w:val="16"/>
    </w:rPr>
  </w:style>
  <w:style w:type="table" w:styleId="TableGrid">
    <w:name w:val="Table Grid"/>
    <w:basedOn w:val="TableNormal"/>
    <w:uiPriority w:val="59"/>
    <w:rsid w:val="00753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B558D"/>
    <w:rPr>
      <w:b/>
      <w:bCs/>
    </w:rPr>
  </w:style>
  <w:style w:type="character" w:customStyle="1" w:styleId="CommentSubjectChar">
    <w:name w:val="Comment Subject Char"/>
    <w:basedOn w:val="CommentTextChar"/>
    <w:link w:val="CommentSubject"/>
    <w:uiPriority w:val="99"/>
    <w:semiHidden/>
    <w:rsid w:val="00FB558D"/>
    <w:rPr>
      <w:b/>
      <w:bCs/>
      <w:sz w:val="20"/>
      <w:szCs w:val="20"/>
    </w:rPr>
  </w:style>
  <w:style w:type="paragraph" w:styleId="Header">
    <w:name w:val="header"/>
    <w:basedOn w:val="Normal"/>
    <w:link w:val="HeaderChar"/>
    <w:uiPriority w:val="99"/>
    <w:semiHidden/>
    <w:unhideWhenUsed/>
    <w:rsid w:val="00A933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39D"/>
  </w:style>
  <w:style w:type="paragraph" w:styleId="Footer">
    <w:name w:val="footer"/>
    <w:basedOn w:val="Normal"/>
    <w:link w:val="FooterChar"/>
    <w:uiPriority w:val="99"/>
    <w:unhideWhenUsed/>
    <w:rsid w:val="00A93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39D"/>
  </w:style>
</w:styles>
</file>

<file path=word/webSettings.xml><?xml version="1.0" encoding="utf-8"?>
<w:webSettings xmlns:r="http://schemas.openxmlformats.org/officeDocument/2006/relationships" xmlns:w="http://schemas.openxmlformats.org/wordprocessingml/2006/main">
  <w:divs>
    <w:div w:id="32391323">
      <w:bodyDiv w:val="1"/>
      <w:marLeft w:val="0"/>
      <w:marRight w:val="0"/>
      <w:marTop w:val="0"/>
      <w:marBottom w:val="0"/>
      <w:divBdr>
        <w:top w:val="none" w:sz="0" w:space="0" w:color="auto"/>
        <w:left w:val="none" w:sz="0" w:space="0" w:color="auto"/>
        <w:bottom w:val="none" w:sz="0" w:space="0" w:color="auto"/>
        <w:right w:val="none" w:sz="0" w:space="0" w:color="auto"/>
      </w:divBdr>
    </w:div>
    <w:div w:id="81420263">
      <w:bodyDiv w:val="1"/>
      <w:marLeft w:val="0"/>
      <w:marRight w:val="0"/>
      <w:marTop w:val="0"/>
      <w:marBottom w:val="0"/>
      <w:divBdr>
        <w:top w:val="none" w:sz="0" w:space="0" w:color="auto"/>
        <w:left w:val="none" w:sz="0" w:space="0" w:color="auto"/>
        <w:bottom w:val="none" w:sz="0" w:space="0" w:color="auto"/>
        <w:right w:val="none" w:sz="0" w:space="0" w:color="auto"/>
      </w:divBdr>
      <w:divsChild>
        <w:div w:id="579750120">
          <w:marLeft w:val="547"/>
          <w:marRight w:val="0"/>
          <w:marTop w:val="240"/>
          <w:marBottom w:val="0"/>
          <w:divBdr>
            <w:top w:val="none" w:sz="0" w:space="0" w:color="auto"/>
            <w:left w:val="none" w:sz="0" w:space="0" w:color="auto"/>
            <w:bottom w:val="none" w:sz="0" w:space="0" w:color="auto"/>
            <w:right w:val="none" w:sz="0" w:space="0" w:color="auto"/>
          </w:divBdr>
        </w:div>
        <w:div w:id="1586114206">
          <w:marLeft w:val="547"/>
          <w:marRight w:val="0"/>
          <w:marTop w:val="240"/>
          <w:marBottom w:val="0"/>
          <w:divBdr>
            <w:top w:val="none" w:sz="0" w:space="0" w:color="auto"/>
            <w:left w:val="none" w:sz="0" w:space="0" w:color="auto"/>
            <w:bottom w:val="none" w:sz="0" w:space="0" w:color="auto"/>
            <w:right w:val="none" w:sz="0" w:space="0" w:color="auto"/>
          </w:divBdr>
        </w:div>
        <w:div w:id="461189175">
          <w:marLeft w:val="547"/>
          <w:marRight w:val="0"/>
          <w:marTop w:val="240"/>
          <w:marBottom w:val="0"/>
          <w:divBdr>
            <w:top w:val="none" w:sz="0" w:space="0" w:color="auto"/>
            <w:left w:val="none" w:sz="0" w:space="0" w:color="auto"/>
            <w:bottom w:val="none" w:sz="0" w:space="0" w:color="auto"/>
            <w:right w:val="none" w:sz="0" w:space="0" w:color="auto"/>
          </w:divBdr>
        </w:div>
        <w:div w:id="462767765">
          <w:marLeft w:val="1267"/>
          <w:marRight w:val="0"/>
          <w:marTop w:val="240"/>
          <w:marBottom w:val="0"/>
          <w:divBdr>
            <w:top w:val="none" w:sz="0" w:space="0" w:color="auto"/>
            <w:left w:val="none" w:sz="0" w:space="0" w:color="auto"/>
            <w:bottom w:val="none" w:sz="0" w:space="0" w:color="auto"/>
            <w:right w:val="none" w:sz="0" w:space="0" w:color="auto"/>
          </w:divBdr>
        </w:div>
        <w:div w:id="408234148">
          <w:marLeft w:val="547"/>
          <w:marRight w:val="0"/>
          <w:marTop w:val="240"/>
          <w:marBottom w:val="0"/>
          <w:divBdr>
            <w:top w:val="none" w:sz="0" w:space="0" w:color="auto"/>
            <w:left w:val="none" w:sz="0" w:space="0" w:color="auto"/>
            <w:bottom w:val="none" w:sz="0" w:space="0" w:color="auto"/>
            <w:right w:val="none" w:sz="0" w:space="0" w:color="auto"/>
          </w:divBdr>
        </w:div>
        <w:div w:id="1739672158">
          <w:marLeft w:val="547"/>
          <w:marRight w:val="0"/>
          <w:marTop w:val="240"/>
          <w:marBottom w:val="0"/>
          <w:divBdr>
            <w:top w:val="none" w:sz="0" w:space="0" w:color="auto"/>
            <w:left w:val="none" w:sz="0" w:space="0" w:color="auto"/>
            <w:bottom w:val="none" w:sz="0" w:space="0" w:color="auto"/>
            <w:right w:val="none" w:sz="0" w:space="0" w:color="auto"/>
          </w:divBdr>
        </w:div>
      </w:divsChild>
    </w:div>
    <w:div w:id="214777692">
      <w:bodyDiv w:val="1"/>
      <w:marLeft w:val="0"/>
      <w:marRight w:val="0"/>
      <w:marTop w:val="0"/>
      <w:marBottom w:val="0"/>
      <w:divBdr>
        <w:top w:val="none" w:sz="0" w:space="0" w:color="auto"/>
        <w:left w:val="none" w:sz="0" w:space="0" w:color="auto"/>
        <w:bottom w:val="none" w:sz="0" w:space="0" w:color="auto"/>
        <w:right w:val="none" w:sz="0" w:space="0" w:color="auto"/>
      </w:divBdr>
    </w:div>
    <w:div w:id="256329661">
      <w:bodyDiv w:val="1"/>
      <w:marLeft w:val="0"/>
      <w:marRight w:val="0"/>
      <w:marTop w:val="0"/>
      <w:marBottom w:val="0"/>
      <w:divBdr>
        <w:top w:val="none" w:sz="0" w:space="0" w:color="auto"/>
        <w:left w:val="none" w:sz="0" w:space="0" w:color="auto"/>
        <w:bottom w:val="none" w:sz="0" w:space="0" w:color="auto"/>
        <w:right w:val="none" w:sz="0" w:space="0" w:color="auto"/>
      </w:divBdr>
    </w:div>
    <w:div w:id="259072596">
      <w:bodyDiv w:val="1"/>
      <w:marLeft w:val="0"/>
      <w:marRight w:val="0"/>
      <w:marTop w:val="0"/>
      <w:marBottom w:val="0"/>
      <w:divBdr>
        <w:top w:val="none" w:sz="0" w:space="0" w:color="auto"/>
        <w:left w:val="none" w:sz="0" w:space="0" w:color="auto"/>
        <w:bottom w:val="none" w:sz="0" w:space="0" w:color="auto"/>
        <w:right w:val="none" w:sz="0" w:space="0" w:color="auto"/>
      </w:divBdr>
      <w:divsChild>
        <w:div w:id="2045212641">
          <w:marLeft w:val="547"/>
          <w:marRight w:val="0"/>
          <w:marTop w:val="240"/>
          <w:marBottom w:val="0"/>
          <w:divBdr>
            <w:top w:val="none" w:sz="0" w:space="0" w:color="auto"/>
            <w:left w:val="none" w:sz="0" w:space="0" w:color="auto"/>
            <w:bottom w:val="none" w:sz="0" w:space="0" w:color="auto"/>
            <w:right w:val="none" w:sz="0" w:space="0" w:color="auto"/>
          </w:divBdr>
        </w:div>
        <w:div w:id="215708323">
          <w:marLeft w:val="547"/>
          <w:marRight w:val="0"/>
          <w:marTop w:val="240"/>
          <w:marBottom w:val="0"/>
          <w:divBdr>
            <w:top w:val="none" w:sz="0" w:space="0" w:color="auto"/>
            <w:left w:val="none" w:sz="0" w:space="0" w:color="auto"/>
            <w:bottom w:val="none" w:sz="0" w:space="0" w:color="auto"/>
            <w:right w:val="none" w:sz="0" w:space="0" w:color="auto"/>
          </w:divBdr>
        </w:div>
        <w:div w:id="87311192">
          <w:marLeft w:val="547"/>
          <w:marRight w:val="0"/>
          <w:marTop w:val="240"/>
          <w:marBottom w:val="0"/>
          <w:divBdr>
            <w:top w:val="none" w:sz="0" w:space="0" w:color="auto"/>
            <w:left w:val="none" w:sz="0" w:space="0" w:color="auto"/>
            <w:bottom w:val="none" w:sz="0" w:space="0" w:color="auto"/>
            <w:right w:val="none" w:sz="0" w:space="0" w:color="auto"/>
          </w:divBdr>
        </w:div>
        <w:div w:id="1284582829">
          <w:marLeft w:val="547"/>
          <w:marRight w:val="0"/>
          <w:marTop w:val="240"/>
          <w:marBottom w:val="0"/>
          <w:divBdr>
            <w:top w:val="none" w:sz="0" w:space="0" w:color="auto"/>
            <w:left w:val="none" w:sz="0" w:space="0" w:color="auto"/>
            <w:bottom w:val="none" w:sz="0" w:space="0" w:color="auto"/>
            <w:right w:val="none" w:sz="0" w:space="0" w:color="auto"/>
          </w:divBdr>
        </w:div>
        <w:div w:id="1009482771">
          <w:marLeft w:val="547"/>
          <w:marRight w:val="0"/>
          <w:marTop w:val="240"/>
          <w:marBottom w:val="0"/>
          <w:divBdr>
            <w:top w:val="none" w:sz="0" w:space="0" w:color="auto"/>
            <w:left w:val="none" w:sz="0" w:space="0" w:color="auto"/>
            <w:bottom w:val="none" w:sz="0" w:space="0" w:color="auto"/>
            <w:right w:val="none" w:sz="0" w:space="0" w:color="auto"/>
          </w:divBdr>
        </w:div>
      </w:divsChild>
    </w:div>
    <w:div w:id="295187207">
      <w:bodyDiv w:val="1"/>
      <w:marLeft w:val="0"/>
      <w:marRight w:val="0"/>
      <w:marTop w:val="0"/>
      <w:marBottom w:val="0"/>
      <w:divBdr>
        <w:top w:val="none" w:sz="0" w:space="0" w:color="auto"/>
        <w:left w:val="none" w:sz="0" w:space="0" w:color="auto"/>
        <w:bottom w:val="none" w:sz="0" w:space="0" w:color="auto"/>
        <w:right w:val="none" w:sz="0" w:space="0" w:color="auto"/>
      </w:divBdr>
    </w:div>
    <w:div w:id="388967412">
      <w:bodyDiv w:val="1"/>
      <w:marLeft w:val="0"/>
      <w:marRight w:val="0"/>
      <w:marTop w:val="0"/>
      <w:marBottom w:val="0"/>
      <w:divBdr>
        <w:top w:val="none" w:sz="0" w:space="0" w:color="auto"/>
        <w:left w:val="none" w:sz="0" w:space="0" w:color="auto"/>
        <w:bottom w:val="none" w:sz="0" w:space="0" w:color="auto"/>
        <w:right w:val="none" w:sz="0" w:space="0" w:color="auto"/>
      </w:divBdr>
      <w:divsChild>
        <w:div w:id="850878873">
          <w:marLeft w:val="547"/>
          <w:marRight w:val="0"/>
          <w:marTop w:val="160"/>
          <w:marBottom w:val="0"/>
          <w:divBdr>
            <w:top w:val="none" w:sz="0" w:space="0" w:color="auto"/>
            <w:left w:val="none" w:sz="0" w:space="0" w:color="auto"/>
            <w:bottom w:val="none" w:sz="0" w:space="0" w:color="auto"/>
            <w:right w:val="none" w:sz="0" w:space="0" w:color="auto"/>
          </w:divBdr>
        </w:div>
        <w:div w:id="1581401826">
          <w:marLeft w:val="547"/>
          <w:marRight w:val="0"/>
          <w:marTop w:val="160"/>
          <w:marBottom w:val="0"/>
          <w:divBdr>
            <w:top w:val="none" w:sz="0" w:space="0" w:color="auto"/>
            <w:left w:val="none" w:sz="0" w:space="0" w:color="auto"/>
            <w:bottom w:val="none" w:sz="0" w:space="0" w:color="auto"/>
            <w:right w:val="none" w:sz="0" w:space="0" w:color="auto"/>
          </w:divBdr>
        </w:div>
        <w:div w:id="1595552858">
          <w:marLeft w:val="1267"/>
          <w:marRight w:val="0"/>
          <w:marTop w:val="160"/>
          <w:marBottom w:val="0"/>
          <w:divBdr>
            <w:top w:val="none" w:sz="0" w:space="0" w:color="auto"/>
            <w:left w:val="none" w:sz="0" w:space="0" w:color="auto"/>
            <w:bottom w:val="none" w:sz="0" w:space="0" w:color="auto"/>
            <w:right w:val="none" w:sz="0" w:space="0" w:color="auto"/>
          </w:divBdr>
        </w:div>
        <w:div w:id="1957786041">
          <w:marLeft w:val="1267"/>
          <w:marRight w:val="0"/>
          <w:marTop w:val="160"/>
          <w:marBottom w:val="0"/>
          <w:divBdr>
            <w:top w:val="none" w:sz="0" w:space="0" w:color="auto"/>
            <w:left w:val="none" w:sz="0" w:space="0" w:color="auto"/>
            <w:bottom w:val="none" w:sz="0" w:space="0" w:color="auto"/>
            <w:right w:val="none" w:sz="0" w:space="0" w:color="auto"/>
          </w:divBdr>
        </w:div>
        <w:div w:id="2042902854">
          <w:marLeft w:val="1267"/>
          <w:marRight w:val="0"/>
          <w:marTop w:val="160"/>
          <w:marBottom w:val="0"/>
          <w:divBdr>
            <w:top w:val="none" w:sz="0" w:space="0" w:color="auto"/>
            <w:left w:val="none" w:sz="0" w:space="0" w:color="auto"/>
            <w:bottom w:val="none" w:sz="0" w:space="0" w:color="auto"/>
            <w:right w:val="none" w:sz="0" w:space="0" w:color="auto"/>
          </w:divBdr>
        </w:div>
        <w:div w:id="1228030344">
          <w:marLeft w:val="1267"/>
          <w:marRight w:val="0"/>
          <w:marTop w:val="160"/>
          <w:marBottom w:val="0"/>
          <w:divBdr>
            <w:top w:val="none" w:sz="0" w:space="0" w:color="auto"/>
            <w:left w:val="none" w:sz="0" w:space="0" w:color="auto"/>
            <w:bottom w:val="none" w:sz="0" w:space="0" w:color="auto"/>
            <w:right w:val="none" w:sz="0" w:space="0" w:color="auto"/>
          </w:divBdr>
        </w:div>
      </w:divsChild>
    </w:div>
    <w:div w:id="427584758">
      <w:bodyDiv w:val="1"/>
      <w:marLeft w:val="0"/>
      <w:marRight w:val="0"/>
      <w:marTop w:val="0"/>
      <w:marBottom w:val="0"/>
      <w:divBdr>
        <w:top w:val="none" w:sz="0" w:space="0" w:color="auto"/>
        <w:left w:val="none" w:sz="0" w:space="0" w:color="auto"/>
        <w:bottom w:val="none" w:sz="0" w:space="0" w:color="auto"/>
        <w:right w:val="none" w:sz="0" w:space="0" w:color="auto"/>
      </w:divBdr>
      <w:divsChild>
        <w:div w:id="695933194">
          <w:marLeft w:val="547"/>
          <w:marRight w:val="0"/>
          <w:marTop w:val="240"/>
          <w:marBottom w:val="0"/>
          <w:divBdr>
            <w:top w:val="none" w:sz="0" w:space="0" w:color="auto"/>
            <w:left w:val="none" w:sz="0" w:space="0" w:color="auto"/>
            <w:bottom w:val="none" w:sz="0" w:space="0" w:color="auto"/>
            <w:right w:val="none" w:sz="0" w:space="0" w:color="auto"/>
          </w:divBdr>
        </w:div>
        <w:div w:id="658847855">
          <w:marLeft w:val="547"/>
          <w:marRight w:val="0"/>
          <w:marTop w:val="240"/>
          <w:marBottom w:val="0"/>
          <w:divBdr>
            <w:top w:val="none" w:sz="0" w:space="0" w:color="auto"/>
            <w:left w:val="none" w:sz="0" w:space="0" w:color="auto"/>
            <w:bottom w:val="none" w:sz="0" w:space="0" w:color="auto"/>
            <w:right w:val="none" w:sz="0" w:space="0" w:color="auto"/>
          </w:divBdr>
        </w:div>
        <w:div w:id="392583046">
          <w:marLeft w:val="547"/>
          <w:marRight w:val="0"/>
          <w:marTop w:val="240"/>
          <w:marBottom w:val="0"/>
          <w:divBdr>
            <w:top w:val="none" w:sz="0" w:space="0" w:color="auto"/>
            <w:left w:val="none" w:sz="0" w:space="0" w:color="auto"/>
            <w:bottom w:val="none" w:sz="0" w:space="0" w:color="auto"/>
            <w:right w:val="none" w:sz="0" w:space="0" w:color="auto"/>
          </w:divBdr>
        </w:div>
        <w:div w:id="1301152639">
          <w:marLeft w:val="547"/>
          <w:marRight w:val="0"/>
          <w:marTop w:val="240"/>
          <w:marBottom w:val="0"/>
          <w:divBdr>
            <w:top w:val="none" w:sz="0" w:space="0" w:color="auto"/>
            <w:left w:val="none" w:sz="0" w:space="0" w:color="auto"/>
            <w:bottom w:val="none" w:sz="0" w:space="0" w:color="auto"/>
            <w:right w:val="none" w:sz="0" w:space="0" w:color="auto"/>
          </w:divBdr>
        </w:div>
        <w:div w:id="525749107">
          <w:marLeft w:val="547"/>
          <w:marRight w:val="0"/>
          <w:marTop w:val="240"/>
          <w:marBottom w:val="0"/>
          <w:divBdr>
            <w:top w:val="none" w:sz="0" w:space="0" w:color="auto"/>
            <w:left w:val="none" w:sz="0" w:space="0" w:color="auto"/>
            <w:bottom w:val="none" w:sz="0" w:space="0" w:color="auto"/>
            <w:right w:val="none" w:sz="0" w:space="0" w:color="auto"/>
          </w:divBdr>
        </w:div>
        <w:div w:id="219946962">
          <w:marLeft w:val="547"/>
          <w:marRight w:val="0"/>
          <w:marTop w:val="240"/>
          <w:marBottom w:val="0"/>
          <w:divBdr>
            <w:top w:val="none" w:sz="0" w:space="0" w:color="auto"/>
            <w:left w:val="none" w:sz="0" w:space="0" w:color="auto"/>
            <w:bottom w:val="none" w:sz="0" w:space="0" w:color="auto"/>
            <w:right w:val="none" w:sz="0" w:space="0" w:color="auto"/>
          </w:divBdr>
        </w:div>
        <w:div w:id="1292596940">
          <w:marLeft w:val="547"/>
          <w:marRight w:val="0"/>
          <w:marTop w:val="240"/>
          <w:marBottom w:val="0"/>
          <w:divBdr>
            <w:top w:val="none" w:sz="0" w:space="0" w:color="auto"/>
            <w:left w:val="none" w:sz="0" w:space="0" w:color="auto"/>
            <w:bottom w:val="none" w:sz="0" w:space="0" w:color="auto"/>
            <w:right w:val="none" w:sz="0" w:space="0" w:color="auto"/>
          </w:divBdr>
        </w:div>
      </w:divsChild>
    </w:div>
    <w:div w:id="460729957">
      <w:bodyDiv w:val="1"/>
      <w:marLeft w:val="0"/>
      <w:marRight w:val="0"/>
      <w:marTop w:val="0"/>
      <w:marBottom w:val="0"/>
      <w:divBdr>
        <w:top w:val="none" w:sz="0" w:space="0" w:color="auto"/>
        <w:left w:val="none" w:sz="0" w:space="0" w:color="auto"/>
        <w:bottom w:val="none" w:sz="0" w:space="0" w:color="auto"/>
        <w:right w:val="none" w:sz="0" w:space="0" w:color="auto"/>
      </w:divBdr>
      <w:divsChild>
        <w:div w:id="1005089861">
          <w:marLeft w:val="547"/>
          <w:marRight w:val="0"/>
          <w:marTop w:val="220"/>
          <w:marBottom w:val="0"/>
          <w:divBdr>
            <w:top w:val="none" w:sz="0" w:space="0" w:color="auto"/>
            <w:left w:val="none" w:sz="0" w:space="0" w:color="auto"/>
            <w:bottom w:val="none" w:sz="0" w:space="0" w:color="auto"/>
            <w:right w:val="none" w:sz="0" w:space="0" w:color="auto"/>
          </w:divBdr>
        </w:div>
        <w:div w:id="1035469500">
          <w:marLeft w:val="547"/>
          <w:marRight w:val="0"/>
          <w:marTop w:val="220"/>
          <w:marBottom w:val="0"/>
          <w:divBdr>
            <w:top w:val="none" w:sz="0" w:space="0" w:color="auto"/>
            <w:left w:val="none" w:sz="0" w:space="0" w:color="auto"/>
            <w:bottom w:val="none" w:sz="0" w:space="0" w:color="auto"/>
            <w:right w:val="none" w:sz="0" w:space="0" w:color="auto"/>
          </w:divBdr>
        </w:div>
        <w:div w:id="945422709">
          <w:marLeft w:val="547"/>
          <w:marRight w:val="0"/>
          <w:marTop w:val="220"/>
          <w:marBottom w:val="0"/>
          <w:divBdr>
            <w:top w:val="none" w:sz="0" w:space="0" w:color="auto"/>
            <w:left w:val="none" w:sz="0" w:space="0" w:color="auto"/>
            <w:bottom w:val="none" w:sz="0" w:space="0" w:color="auto"/>
            <w:right w:val="none" w:sz="0" w:space="0" w:color="auto"/>
          </w:divBdr>
        </w:div>
        <w:div w:id="1031032898">
          <w:marLeft w:val="547"/>
          <w:marRight w:val="0"/>
          <w:marTop w:val="220"/>
          <w:marBottom w:val="0"/>
          <w:divBdr>
            <w:top w:val="none" w:sz="0" w:space="0" w:color="auto"/>
            <w:left w:val="none" w:sz="0" w:space="0" w:color="auto"/>
            <w:bottom w:val="none" w:sz="0" w:space="0" w:color="auto"/>
            <w:right w:val="none" w:sz="0" w:space="0" w:color="auto"/>
          </w:divBdr>
        </w:div>
      </w:divsChild>
    </w:div>
    <w:div w:id="500047449">
      <w:bodyDiv w:val="1"/>
      <w:marLeft w:val="0"/>
      <w:marRight w:val="0"/>
      <w:marTop w:val="0"/>
      <w:marBottom w:val="0"/>
      <w:divBdr>
        <w:top w:val="none" w:sz="0" w:space="0" w:color="auto"/>
        <w:left w:val="none" w:sz="0" w:space="0" w:color="auto"/>
        <w:bottom w:val="none" w:sz="0" w:space="0" w:color="auto"/>
        <w:right w:val="none" w:sz="0" w:space="0" w:color="auto"/>
      </w:divBdr>
    </w:div>
    <w:div w:id="581332721">
      <w:bodyDiv w:val="1"/>
      <w:marLeft w:val="0"/>
      <w:marRight w:val="0"/>
      <w:marTop w:val="0"/>
      <w:marBottom w:val="0"/>
      <w:divBdr>
        <w:top w:val="none" w:sz="0" w:space="0" w:color="auto"/>
        <w:left w:val="none" w:sz="0" w:space="0" w:color="auto"/>
        <w:bottom w:val="none" w:sz="0" w:space="0" w:color="auto"/>
        <w:right w:val="none" w:sz="0" w:space="0" w:color="auto"/>
      </w:divBdr>
      <w:divsChild>
        <w:div w:id="550774993">
          <w:marLeft w:val="547"/>
          <w:marRight w:val="0"/>
          <w:marTop w:val="220"/>
          <w:marBottom w:val="0"/>
          <w:divBdr>
            <w:top w:val="none" w:sz="0" w:space="0" w:color="auto"/>
            <w:left w:val="none" w:sz="0" w:space="0" w:color="auto"/>
            <w:bottom w:val="none" w:sz="0" w:space="0" w:color="auto"/>
            <w:right w:val="none" w:sz="0" w:space="0" w:color="auto"/>
          </w:divBdr>
        </w:div>
        <w:div w:id="141700783">
          <w:marLeft w:val="547"/>
          <w:marRight w:val="0"/>
          <w:marTop w:val="220"/>
          <w:marBottom w:val="0"/>
          <w:divBdr>
            <w:top w:val="none" w:sz="0" w:space="0" w:color="auto"/>
            <w:left w:val="none" w:sz="0" w:space="0" w:color="auto"/>
            <w:bottom w:val="none" w:sz="0" w:space="0" w:color="auto"/>
            <w:right w:val="none" w:sz="0" w:space="0" w:color="auto"/>
          </w:divBdr>
        </w:div>
        <w:div w:id="831795220">
          <w:marLeft w:val="547"/>
          <w:marRight w:val="0"/>
          <w:marTop w:val="220"/>
          <w:marBottom w:val="0"/>
          <w:divBdr>
            <w:top w:val="none" w:sz="0" w:space="0" w:color="auto"/>
            <w:left w:val="none" w:sz="0" w:space="0" w:color="auto"/>
            <w:bottom w:val="none" w:sz="0" w:space="0" w:color="auto"/>
            <w:right w:val="none" w:sz="0" w:space="0" w:color="auto"/>
          </w:divBdr>
        </w:div>
        <w:div w:id="657226811">
          <w:marLeft w:val="547"/>
          <w:marRight w:val="0"/>
          <w:marTop w:val="220"/>
          <w:marBottom w:val="0"/>
          <w:divBdr>
            <w:top w:val="none" w:sz="0" w:space="0" w:color="auto"/>
            <w:left w:val="none" w:sz="0" w:space="0" w:color="auto"/>
            <w:bottom w:val="none" w:sz="0" w:space="0" w:color="auto"/>
            <w:right w:val="none" w:sz="0" w:space="0" w:color="auto"/>
          </w:divBdr>
        </w:div>
      </w:divsChild>
    </w:div>
    <w:div w:id="595482327">
      <w:bodyDiv w:val="1"/>
      <w:marLeft w:val="0"/>
      <w:marRight w:val="0"/>
      <w:marTop w:val="0"/>
      <w:marBottom w:val="0"/>
      <w:divBdr>
        <w:top w:val="none" w:sz="0" w:space="0" w:color="auto"/>
        <w:left w:val="none" w:sz="0" w:space="0" w:color="auto"/>
        <w:bottom w:val="none" w:sz="0" w:space="0" w:color="auto"/>
        <w:right w:val="none" w:sz="0" w:space="0" w:color="auto"/>
      </w:divBdr>
    </w:div>
    <w:div w:id="598223647">
      <w:bodyDiv w:val="1"/>
      <w:marLeft w:val="0"/>
      <w:marRight w:val="0"/>
      <w:marTop w:val="0"/>
      <w:marBottom w:val="0"/>
      <w:divBdr>
        <w:top w:val="none" w:sz="0" w:space="0" w:color="auto"/>
        <w:left w:val="none" w:sz="0" w:space="0" w:color="auto"/>
        <w:bottom w:val="none" w:sz="0" w:space="0" w:color="auto"/>
        <w:right w:val="none" w:sz="0" w:space="0" w:color="auto"/>
      </w:divBdr>
    </w:div>
    <w:div w:id="621349524">
      <w:bodyDiv w:val="1"/>
      <w:marLeft w:val="0"/>
      <w:marRight w:val="0"/>
      <w:marTop w:val="0"/>
      <w:marBottom w:val="0"/>
      <w:divBdr>
        <w:top w:val="none" w:sz="0" w:space="0" w:color="auto"/>
        <w:left w:val="none" w:sz="0" w:space="0" w:color="auto"/>
        <w:bottom w:val="none" w:sz="0" w:space="0" w:color="auto"/>
        <w:right w:val="none" w:sz="0" w:space="0" w:color="auto"/>
      </w:divBdr>
    </w:div>
    <w:div w:id="734820420">
      <w:bodyDiv w:val="1"/>
      <w:marLeft w:val="0"/>
      <w:marRight w:val="0"/>
      <w:marTop w:val="0"/>
      <w:marBottom w:val="0"/>
      <w:divBdr>
        <w:top w:val="none" w:sz="0" w:space="0" w:color="auto"/>
        <w:left w:val="none" w:sz="0" w:space="0" w:color="auto"/>
        <w:bottom w:val="none" w:sz="0" w:space="0" w:color="auto"/>
        <w:right w:val="none" w:sz="0" w:space="0" w:color="auto"/>
      </w:divBdr>
    </w:div>
    <w:div w:id="913201349">
      <w:bodyDiv w:val="1"/>
      <w:marLeft w:val="0"/>
      <w:marRight w:val="0"/>
      <w:marTop w:val="0"/>
      <w:marBottom w:val="0"/>
      <w:divBdr>
        <w:top w:val="none" w:sz="0" w:space="0" w:color="auto"/>
        <w:left w:val="none" w:sz="0" w:space="0" w:color="auto"/>
        <w:bottom w:val="none" w:sz="0" w:space="0" w:color="auto"/>
        <w:right w:val="none" w:sz="0" w:space="0" w:color="auto"/>
      </w:divBdr>
    </w:div>
    <w:div w:id="959185258">
      <w:bodyDiv w:val="1"/>
      <w:marLeft w:val="0"/>
      <w:marRight w:val="0"/>
      <w:marTop w:val="0"/>
      <w:marBottom w:val="0"/>
      <w:divBdr>
        <w:top w:val="none" w:sz="0" w:space="0" w:color="auto"/>
        <w:left w:val="none" w:sz="0" w:space="0" w:color="auto"/>
        <w:bottom w:val="none" w:sz="0" w:space="0" w:color="auto"/>
        <w:right w:val="none" w:sz="0" w:space="0" w:color="auto"/>
      </w:divBdr>
    </w:div>
    <w:div w:id="1052730775">
      <w:bodyDiv w:val="1"/>
      <w:marLeft w:val="0"/>
      <w:marRight w:val="0"/>
      <w:marTop w:val="0"/>
      <w:marBottom w:val="0"/>
      <w:divBdr>
        <w:top w:val="none" w:sz="0" w:space="0" w:color="auto"/>
        <w:left w:val="none" w:sz="0" w:space="0" w:color="auto"/>
        <w:bottom w:val="none" w:sz="0" w:space="0" w:color="auto"/>
        <w:right w:val="none" w:sz="0" w:space="0" w:color="auto"/>
      </w:divBdr>
      <w:divsChild>
        <w:div w:id="2020236769">
          <w:marLeft w:val="547"/>
          <w:marRight w:val="0"/>
          <w:marTop w:val="160"/>
          <w:marBottom w:val="0"/>
          <w:divBdr>
            <w:top w:val="none" w:sz="0" w:space="0" w:color="auto"/>
            <w:left w:val="none" w:sz="0" w:space="0" w:color="auto"/>
            <w:bottom w:val="none" w:sz="0" w:space="0" w:color="auto"/>
            <w:right w:val="none" w:sz="0" w:space="0" w:color="auto"/>
          </w:divBdr>
        </w:div>
        <w:div w:id="917710573">
          <w:marLeft w:val="547"/>
          <w:marRight w:val="0"/>
          <w:marTop w:val="160"/>
          <w:marBottom w:val="0"/>
          <w:divBdr>
            <w:top w:val="none" w:sz="0" w:space="0" w:color="auto"/>
            <w:left w:val="none" w:sz="0" w:space="0" w:color="auto"/>
            <w:bottom w:val="none" w:sz="0" w:space="0" w:color="auto"/>
            <w:right w:val="none" w:sz="0" w:space="0" w:color="auto"/>
          </w:divBdr>
        </w:div>
        <w:div w:id="1524392822">
          <w:marLeft w:val="547"/>
          <w:marRight w:val="0"/>
          <w:marTop w:val="160"/>
          <w:marBottom w:val="0"/>
          <w:divBdr>
            <w:top w:val="none" w:sz="0" w:space="0" w:color="auto"/>
            <w:left w:val="none" w:sz="0" w:space="0" w:color="auto"/>
            <w:bottom w:val="none" w:sz="0" w:space="0" w:color="auto"/>
            <w:right w:val="none" w:sz="0" w:space="0" w:color="auto"/>
          </w:divBdr>
        </w:div>
        <w:div w:id="1476023658">
          <w:marLeft w:val="547"/>
          <w:marRight w:val="0"/>
          <w:marTop w:val="160"/>
          <w:marBottom w:val="0"/>
          <w:divBdr>
            <w:top w:val="none" w:sz="0" w:space="0" w:color="auto"/>
            <w:left w:val="none" w:sz="0" w:space="0" w:color="auto"/>
            <w:bottom w:val="none" w:sz="0" w:space="0" w:color="auto"/>
            <w:right w:val="none" w:sz="0" w:space="0" w:color="auto"/>
          </w:divBdr>
        </w:div>
        <w:div w:id="1739791130">
          <w:marLeft w:val="547"/>
          <w:marRight w:val="0"/>
          <w:marTop w:val="160"/>
          <w:marBottom w:val="0"/>
          <w:divBdr>
            <w:top w:val="none" w:sz="0" w:space="0" w:color="auto"/>
            <w:left w:val="none" w:sz="0" w:space="0" w:color="auto"/>
            <w:bottom w:val="none" w:sz="0" w:space="0" w:color="auto"/>
            <w:right w:val="none" w:sz="0" w:space="0" w:color="auto"/>
          </w:divBdr>
        </w:div>
      </w:divsChild>
    </w:div>
    <w:div w:id="1053120329">
      <w:bodyDiv w:val="1"/>
      <w:marLeft w:val="0"/>
      <w:marRight w:val="0"/>
      <w:marTop w:val="0"/>
      <w:marBottom w:val="0"/>
      <w:divBdr>
        <w:top w:val="none" w:sz="0" w:space="0" w:color="auto"/>
        <w:left w:val="none" w:sz="0" w:space="0" w:color="auto"/>
        <w:bottom w:val="none" w:sz="0" w:space="0" w:color="auto"/>
        <w:right w:val="none" w:sz="0" w:space="0" w:color="auto"/>
      </w:divBdr>
    </w:div>
    <w:div w:id="1121076256">
      <w:bodyDiv w:val="1"/>
      <w:marLeft w:val="0"/>
      <w:marRight w:val="0"/>
      <w:marTop w:val="0"/>
      <w:marBottom w:val="0"/>
      <w:divBdr>
        <w:top w:val="none" w:sz="0" w:space="0" w:color="auto"/>
        <w:left w:val="none" w:sz="0" w:space="0" w:color="auto"/>
        <w:bottom w:val="none" w:sz="0" w:space="0" w:color="auto"/>
        <w:right w:val="none" w:sz="0" w:space="0" w:color="auto"/>
      </w:divBdr>
    </w:div>
    <w:div w:id="1184393417">
      <w:bodyDiv w:val="1"/>
      <w:marLeft w:val="0"/>
      <w:marRight w:val="0"/>
      <w:marTop w:val="0"/>
      <w:marBottom w:val="0"/>
      <w:divBdr>
        <w:top w:val="none" w:sz="0" w:space="0" w:color="auto"/>
        <w:left w:val="none" w:sz="0" w:space="0" w:color="auto"/>
        <w:bottom w:val="none" w:sz="0" w:space="0" w:color="auto"/>
        <w:right w:val="none" w:sz="0" w:space="0" w:color="auto"/>
      </w:divBdr>
      <w:divsChild>
        <w:div w:id="31620307">
          <w:marLeft w:val="547"/>
          <w:marRight w:val="0"/>
          <w:marTop w:val="384"/>
          <w:marBottom w:val="0"/>
          <w:divBdr>
            <w:top w:val="none" w:sz="0" w:space="0" w:color="auto"/>
            <w:left w:val="none" w:sz="0" w:space="0" w:color="auto"/>
            <w:bottom w:val="none" w:sz="0" w:space="0" w:color="auto"/>
            <w:right w:val="none" w:sz="0" w:space="0" w:color="auto"/>
          </w:divBdr>
        </w:div>
        <w:div w:id="1027679496">
          <w:marLeft w:val="547"/>
          <w:marRight w:val="0"/>
          <w:marTop w:val="384"/>
          <w:marBottom w:val="0"/>
          <w:divBdr>
            <w:top w:val="none" w:sz="0" w:space="0" w:color="auto"/>
            <w:left w:val="none" w:sz="0" w:space="0" w:color="auto"/>
            <w:bottom w:val="none" w:sz="0" w:space="0" w:color="auto"/>
            <w:right w:val="none" w:sz="0" w:space="0" w:color="auto"/>
          </w:divBdr>
        </w:div>
        <w:div w:id="695693753">
          <w:marLeft w:val="547"/>
          <w:marRight w:val="0"/>
          <w:marTop w:val="384"/>
          <w:marBottom w:val="0"/>
          <w:divBdr>
            <w:top w:val="none" w:sz="0" w:space="0" w:color="auto"/>
            <w:left w:val="none" w:sz="0" w:space="0" w:color="auto"/>
            <w:bottom w:val="none" w:sz="0" w:space="0" w:color="auto"/>
            <w:right w:val="none" w:sz="0" w:space="0" w:color="auto"/>
          </w:divBdr>
        </w:div>
        <w:div w:id="350687445">
          <w:marLeft w:val="547"/>
          <w:marRight w:val="0"/>
          <w:marTop w:val="384"/>
          <w:marBottom w:val="0"/>
          <w:divBdr>
            <w:top w:val="none" w:sz="0" w:space="0" w:color="auto"/>
            <w:left w:val="none" w:sz="0" w:space="0" w:color="auto"/>
            <w:bottom w:val="none" w:sz="0" w:space="0" w:color="auto"/>
            <w:right w:val="none" w:sz="0" w:space="0" w:color="auto"/>
          </w:divBdr>
        </w:div>
      </w:divsChild>
    </w:div>
    <w:div w:id="1315988727">
      <w:bodyDiv w:val="1"/>
      <w:marLeft w:val="0"/>
      <w:marRight w:val="0"/>
      <w:marTop w:val="0"/>
      <w:marBottom w:val="0"/>
      <w:divBdr>
        <w:top w:val="none" w:sz="0" w:space="0" w:color="auto"/>
        <w:left w:val="none" w:sz="0" w:space="0" w:color="auto"/>
        <w:bottom w:val="none" w:sz="0" w:space="0" w:color="auto"/>
        <w:right w:val="none" w:sz="0" w:space="0" w:color="auto"/>
      </w:divBdr>
    </w:div>
    <w:div w:id="1332221951">
      <w:bodyDiv w:val="1"/>
      <w:marLeft w:val="0"/>
      <w:marRight w:val="0"/>
      <w:marTop w:val="0"/>
      <w:marBottom w:val="0"/>
      <w:divBdr>
        <w:top w:val="none" w:sz="0" w:space="0" w:color="auto"/>
        <w:left w:val="none" w:sz="0" w:space="0" w:color="auto"/>
        <w:bottom w:val="none" w:sz="0" w:space="0" w:color="auto"/>
        <w:right w:val="none" w:sz="0" w:space="0" w:color="auto"/>
      </w:divBdr>
    </w:div>
    <w:div w:id="1343893764">
      <w:bodyDiv w:val="1"/>
      <w:marLeft w:val="0"/>
      <w:marRight w:val="0"/>
      <w:marTop w:val="0"/>
      <w:marBottom w:val="0"/>
      <w:divBdr>
        <w:top w:val="none" w:sz="0" w:space="0" w:color="auto"/>
        <w:left w:val="none" w:sz="0" w:space="0" w:color="auto"/>
        <w:bottom w:val="none" w:sz="0" w:space="0" w:color="auto"/>
        <w:right w:val="none" w:sz="0" w:space="0" w:color="auto"/>
      </w:divBdr>
    </w:div>
    <w:div w:id="1457259908">
      <w:bodyDiv w:val="1"/>
      <w:marLeft w:val="0"/>
      <w:marRight w:val="0"/>
      <w:marTop w:val="0"/>
      <w:marBottom w:val="0"/>
      <w:divBdr>
        <w:top w:val="none" w:sz="0" w:space="0" w:color="auto"/>
        <w:left w:val="none" w:sz="0" w:space="0" w:color="auto"/>
        <w:bottom w:val="none" w:sz="0" w:space="0" w:color="auto"/>
        <w:right w:val="none" w:sz="0" w:space="0" w:color="auto"/>
      </w:divBdr>
    </w:div>
    <w:div w:id="1505510562">
      <w:bodyDiv w:val="1"/>
      <w:marLeft w:val="0"/>
      <w:marRight w:val="0"/>
      <w:marTop w:val="0"/>
      <w:marBottom w:val="0"/>
      <w:divBdr>
        <w:top w:val="none" w:sz="0" w:space="0" w:color="auto"/>
        <w:left w:val="none" w:sz="0" w:space="0" w:color="auto"/>
        <w:bottom w:val="none" w:sz="0" w:space="0" w:color="auto"/>
        <w:right w:val="none" w:sz="0" w:space="0" w:color="auto"/>
      </w:divBdr>
      <w:divsChild>
        <w:div w:id="116528337">
          <w:marLeft w:val="547"/>
          <w:marRight w:val="0"/>
          <w:marTop w:val="384"/>
          <w:marBottom w:val="0"/>
          <w:divBdr>
            <w:top w:val="none" w:sz="0" w:space="0" w:color="auto"/>
            <w:left w:val="none" w:sz="0" w:space="0" w:color="auto"/>
            <w:bottom w:val="none" w:sz="0" w:space="0" w:color="auto"/>
            <w:right w:val="none" w:sz="0" w:space="0" w:color="auto"/>
          </w:divBdr>
        </w:div>
        <w:div w:id="482164978">
          <w:marLeft w:val="547"/>
          <w:marRight w:val="0"/>
          <w:marTop w:val="384"/>
          <w:marBottom w:val="0"/>
          <w:divBdr>
            <w:top w:val="none" w:sz="0" w:space="0" w:color="auto"/>
            <w:left w:val="none" w:sz="0" w:space="0" w:color="auto"/>
            <w:bottom w:val="none" w:sz="0" w:space="0" w:color="auto"/>
            <w:right w:val="none" w:sz="0" w:space="0" w:color="auto"/>
          </w:divBdr>
        </w:div>
        <w:div w:id="264926695">
          <w:marLeft w:val="547"/>
          <w:marRight w:val="0"/>
          <w:marTop w:val="384"/>
          <w:marBottom w:val="0"/>
          <w:divBdr>
            <w:top w:val="none" w:sz="0" w:space="0" w:color="auto"/>
            <w:left w:val="none" w:sz="0" w:space="0" w:color="auto"/>
            <w:bottom w:val="none" w:sz="0" w:space="0" w:color="auto"/>
            <w:right w:val="none" w:sz="0" w:space="0" w:color="auto"/>
          </w:divBdr>
        </w:div>
        <w:div w:id="1409384266">
          <w:marLeft w:val="547"/>
          <w:marRight w:val="0"/>
          <w:marTop w:val="384"/>
          <w:marBottom w:val="0"/>
          <w:divBdr>
            <w:top w:val="none" w:sz="0" w:space="0" w:color="auto"/>
            <w:left w:val="none" w:sz="0" w:space="0" w:color="auto"/>
            <w:bottom w:val="none" w:sz="0" w:space="0" w:color="auto"/>
            <w:right w:val="none" w:sz="0" w:space="0" w:color="auto"/>
          </w:divBdr>
        </w:div>
      </w:divsChild>
    </w:div>
    <w:div w:id="1527017151">
      <w:bodyDiv w:val="1"/>
      <w:marLeft w:val="0"/>
      <w:marRight w:val="0"/>
      <w:marTop w:val="0"/>
      <w:marBottom w:val="0"/>
      <w:divBdr>
        <w:top w:val="none" w:sz="0" w:space="0" w:color="auto"/>
        <w:left w:val="none" w:sz="0" w:space="0" w:color="auto"/>
        <w:bottom w:val="none" w:sz="0" w:space="0" w:color="auto"/>
        <w:right w:val="none" w:sz="0" w:space="0" w:color="auto"/>
      </w:divBdr>
    </w:div>
    <w:div w:id="1608852582">
      <w:bodyDiv w:val="1"/>
      <w:marLeft w:val="0"/>
      <w:marRight w:val="0"/>
      <w:marTop w:val="0"/>
      <w:marBottom w:val="0"/>
      <w:divBdr>
        <w:top w:val="none" w:sz="0" w:space="0" w:color="auto"/>
        <w:left w:val="none" w:sz="0" w:space="0" w:color="auto"/>
        <w:bottom w:val="none" w:sz="0" w:space="0" w:color="auto"/>
        <w:right w:val="none" w:sz="0" w:space="0" w:color="auto"/>
      </w:divBdr>
    </w:div>
    <w:div w:id="1619412841">
      <w:bodyDiv w:val="1"/>
      <w:marLeft w:val="0"/>
      <w:marRight w:val="0"/>
      <w:marTop w:val="0"/>
      <w:marBottom w:val="0"/>
      <w:divBdr>
        <w:top w:val="none" w:sz="0" w:space="0" w:color="auto"/>
        <w:left w:val="none" w:sz="0" w:space="0" w:color="auto"/>
        <w:bottom w:val="none" w:sz="0" w:space="0" w:color="auto"/>
        <w:right w:val="none" w:sz="0" w:space="0" w:color="auto"/>
      </w:divBdr>
    </w:div>
    <w:div w:id="1623876916">
      <w:bodyDiv w:val="1"/>
      <w:marLeft w:val="0"/>
      <w:marRight w:val="0"/>
      <w:marTop w:val="0"/>
      <w:marBottom w:val="0"/>
      <w:divBdr>
        <w:top w:val="none" w:sz="0" w:space="0" w:color="auto"/>
        <w:left w:val="none" w:sz="0" w:space="0" w:color="auto"/>
        <w:bottom w:val="none" w:sz="0" w:space="0" w:color="auto"/>
        <w:right w:val="none" w:sz="0" w:space="0" w:color="auto"/>
      </w:divBdr>
      <w:divsChild>
        <w:div w:id="1895121065">
          <w:marLeft w:val="547"/>
          <w:marRight w:val="0"/>
          <w:marTop w:val="180"/>
          <w:marBottom w:val="0"/>
          <w:divBdr>
            <w:top w:val="none" w:sz="0" w:space="0" w:color="auto"/>
            <w:left w:val="none" w:sz="0" w:space="0" w:color="auto"/>
            <w:bottom w:val="none" w:sz="0" w:space="0" w:color="auto"/>
            <w:right w:val="none" w:sz="0" w:space="0" w:color="auto"/>
          </w:divBdr>
        </w:div>
        <w:div w:id="310015214">
          <w:marLeft w:val="1267"/>
          <w:marRight w:val="0"/>
          <w:marTop w:val="180"/>
          <w:marBottom w:val="0"/>
          <w:divBdr>
            <w:top w:val="none" w:sz="0" w:space="0" w:color="auto"/>
            <w:left w:val="none" w:sz="0" w:space="0" w:color="auto"/>
            <w:bottom w:val="none" w:sz="0" w:space="0" w:color="auto"/>
            <w:right w:val="none" w:sz="0" w:space="0" w:color="auto"/>
          </w:divBdr>
        </w:div>
        <w:div w:id="971399401">
          <w:marLeft w:val="547"/>
          <w:marRight w:val="0"/>
          <w:marTop w:val="180"/>
          <w:marBottom w:val="0"/>
          <w:divBdr>
            <w:top w:val="none" w:sz="0" w:space="0" w:color="auto"/>
            <w:left w:val="none" w:sz="0" w:space="0" w:color="auto"/>
            <w:bottom w:val="none" w:sz="0" w:space="0" w:color="auto"/>
            <w:right w:val="none" w:sz="0" w:space="0" w:color="auto"/>
          </w:divBdr>
        </w:div>
        <w:div w:id="544878835">
          <w:marLeft w:val="547"/>
          <w:marRight w:val="0"/>
          <w:marTop w:val="180"/>
          <w:marBottom w:val="0"/>
          <w:divBdr>
            <w:top w:val="none" w:sz="0" w:space="0" w:color="auto"/>
            <w:left w:val="none" w:sz="0" w:space="0" w:color="auto"/>
            <w:bottom w:val="none" w:sz="0" w:space="0" w:color="auto"/>
            <w:right w:val="none" w:sz="0" w:space="0" w:color="auto"/>
          </w:divBdr>
        </w:div>
        <w:div w:id="267660430">
          <w:marLeft w:val="547"/>
          <w:marRight w:val="0"/>
          <w:marTop w:val="180"/>
          <w:marBottom w:val="0"/>
          <w:divBdr>
            <w:top w:val="none" w:sz="0" w:space="0" w:color="auto"/>
            <w:left w:val="none" w:sz="0" w:space="0" w:color="auto"/>
            <w:bottom w:val="none" w:sz="0" w:space="0" w:color="auto"/>
            <w:right w:val="none" w:sz="0" w:space="0" w:color="auto"/>
          </w:divBdr>
        </w:div>
      </w:divsChild>
    </w:div>
    <w:div w:id="1777016895">
      <w:bodyDiv w:val="1"/>
      <w:marLeft w:val="0"/>
      <w:marRight w:val="0"/>
      <w:marTop w:val="0"/>
      <w:marBottom w:val="0"/>
      <w:divBdr>
        <w:top w:val="none" w:sz="0" w:space="0" w:color="auto"/>
        <w:left w:val="none" w:sz="0" w:space="0" w:color="auto"/>
        <w:bottom w:val="none" w:sz="0" w:space="0" w:color="auto"/>
        <w:right w:val="none" w:sz="0" w:space="0" w:color="auto"/>
      </w:divBdr>
    </w:div>
    <w:div w:id="1942369122">
      <w:bodyDiv w:val="1"/>
      <w:marLeft w:val="0"/>
      <w:marRight w:val="0"/>
      <w:marTop w:val="0"/>
      <w:marBottom w:val="0"/>
      <w:divBdr>
        <w:top w:val="none" w:sz="0" w:space="0" w:color="auto"/>
        <w:left w:val="none" w:sz="0" w:space="0" w:color="auto"/>
        <w:bottom w:val="none" w:sz="0" w:space="0" w:color="auto"/>
        <w:right w:val="none" w:sz="0" w:space="0" w:color="auto"/>
      </w:divBdr>
    </w:div>
    <w:div w:id="2094351481">
      <w:bodyDiv w:val="1"/>
      <w:marLeft w:val="0"/>
      <w:marRight w:val="0"/>
      <w:marTop w:val="0"/>
      <w:marBottom w:val="0"/>
      <w:divBdr>
        <w:top w:val="none" w:sz="0" w:space="0" w:color="auto"/>
        <w:left w:val="none" w:sz="0" w:space="0" w:color="auto"/>
        <w:bottom w:val="none" w:sz="0" w:space="0" w:color="auto"/>
        <w:right w:val="none" w:sz="0" w:space="0" w:color="auto"/>
      </w:divBdr>
      <w:divsChild>
        <w:div w:id="367486715">
          <w:marLeft w:val="720"/>
          <w:marRight w:val="0"/>
          <w:marTop w:val="384"/>
          <w:marBottom w:val="0"/>
          <w:divBdr>
            <w:top w:val="none" w:sz="0" w:space="0" w:color="auto"/>
            <w:left w:val="none" w:sz="0" w:space="0" w:color="auto"/>
            <w:bottom w:val="none" w:sz="0" w:space="0" w:color="auto"/>
            <w:right w:val="none" w:sz="0" w:space="0" w:color="auto"/>
          </w:divBdr>
        </w:div>
        <w:div w:id="118382399">
          <w:marLeft w:val="720"/>
          <w:marRight w:val="0"/>
          <w:marTop w:val="384"/>
          <w:marBottom w:val="0"/>
          <w:divBdr>
            <w:top w:val="none" w:sz="0" w:space="0" w:color="auto"/>
            <w:left w:val="none" w:sz="0" w:space="0" w:color="auto"/>
            <w:bottom w:val="none" w:sz="0" w:space="0" w:color="auto"/>
            <w:right w:val="none" w:sz="0" w:space="0" w:color="auto"/>
          </w:divBdr>
        </w:div>
        <w:div w:id="1032147841">
          <w:marLeft w:val="720"/>
          <w:marRight w:val="0"/>
          <w:marTop w:val="384"/>
          <w:marBottom w:val="0"/>
          <w:divBdr>
            <w:top w:val="none" w:sz="0" w:space="0" w:color="auto"/>
            <w:left w:val="none" w:sz="0" w:space="0" w:color="auto"/>
            <w:bottom w:val="none" w:sz="0" w:space="0" w:color="auto"/>
            <w:right w:val="none" w:sz="0" w:space="0" w:color="auto"/>
          </w:divBdr>
        </w:div>
        <w:div w:id="2017538847">
          <w:marLeft w:val="720"/>
          <w:marRight w:val="0"/>
          <w:marTop w:val="384"/>
          <w:marBottom w:val="0"/>
          <w:divBdr>
            <w:top w:val="none" w:sz="0" w:space="0" w:color="auto"/>
            <w:left w:val="none" w:sz="0" w:space="0" w:color="auto"/>
            <w:bottom w:val="none" w:sz="0" w:space="0" w:color="auto"/>
            <w:right w:val="none" w:sz="0" w:space="0" w:color="auto"/>
          </w:divBdr>
        </w:div>
        <w:div w:id="1480613404">
          <w:marLeft w:val="720"/>
          <w:marRight w:val="0"/>
          <w:marTop w:val="38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hart" Target="charts/chart1.xm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oleObject" Target="file:///C:\Users\RHecht\Documents\GAVI%20Grads\Copy%20of%20Country%20Tool%20-%20Georgia%20for%20Santiago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hart>
    <c:title>
      <c:tx>
        <c:rich>
          <a:bodyPr/>
          <a:lstStyle/>
          <a:p>
            <a:pPr>
              <a:defRPr/>
            </a:pPr>
            <a:r>
              <a:rPr lang="en-US" sz="1600"/>
              <a:t>Vaccine Costs</a:t>
            </a:r>
          </a:p>
        </c:rich>
      </c:tx>
      <c:layout/>
      <c:spPr>
        <a:scene3d>
          <a:camera prst="orthographicFront"/>
          <a:lightRig rig="threePt" dir="t"/>
        </a:scene3d>
        <a:sp3d>
          <a:bevelT/>
        </a:sp3d>
      </c:spPr>
    </c:title>
    <c:plotArea>
      <c:layout>
        <c:manualLayout>
          <c:xMode val="edge"/>
          <c:yMode val="edge"/>
          <c:x val="0.0652853844898213"/>
          <c:y val="0.0923076923076928"/>
          <c:w val="0.898928549993369"/>
          <c:h val="0.803846153846154"/>
        </c:manualLayout>
      </c:layout>
      <c:barChart>
        <c:barDir val="col"/>
        <c:grouping val="stacked"/>
        <c:ser>
          <c:idx val="0"/>
          <c:order val="0"/>
          <c:tx>
            <c:strRef>
              <c:f>'Country tool'!$D$169</c:f>
              <c:strCache>
                <c:ptCount val="1"/>
                <c:pt idx="0">
                  <c:v>Traditional
vaccine costs </c:v>
                </c:pt>
              </c:strCache>
            </c:strRef>
          </c:tx>
          <c:spPr>
            <a:gradFill flip="none" rotWithShape="1">
              <a:gsLst>
                <a:gs pos="0">
                  <a:srgbClr val="FBBA79"/>
                </a:gs>
                <a:gs pos="50000">
                  <a:srgbClr val="FDDCBB"/>
                </a:gs>
                <a:gs pos="100000">
                  <a:srgbClr val="FBBA79"/>
                </a:gs>
              </a:gsLst>
              <a:lin ang="0" scaled="1"/>
              <a:tileRect/>
            </a:gradFill>
          </c:spPr>
          <c:cat>
            <c:numRef>
              <c:f>'Country tool'!$F$29:$N$29</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'Country tool'!$F$169:$N$169</c:f>
              <c:numCache>
                <c:formatCode>_("$"* #,##0_);_("$"* \(#,##0\);_("$"* "-"_);_(@_)</c:formatCode>
                <c:ptCount val="9"/>
                <c:pt idx="0">
                  <c:v>93103.19835037623</c:v>
                </c:pt>
                <c:pt idx="1">
                  <c:v>93496.18067950761</c:v>
                </c:pt>
                <c:pt idx="2">
                  <c:v>94296.90757948937</c:v>
                </c:pt>
                <c:pt idx="3">
                  <c:v>95166.37072721202</c:v>
                </c:pt>
                <c:pt idx="4">
                  <c:v>96770.1056681626</c:v>
                </c:pt>
                <c:pt idx="5">
                  <c:v>96770.1056681626</c:v>
                </c:pt>
                <c:pt idx="6">
                  <c:v>96770.1056681626</c:v>
                </c:pt>
                <c:pt idx="7">
                  <c:v>96770.1056681626</c:v>
                </c:pt>
                <c:pt idx="8">
                  <c:v>96770.1056681626</c:v>
                </c:pt>
              </c:numCache>
            </c:numRef>
          </c:val>
        </c:ser>
        <c:ser>
          <c:idx val="1"/>
          <c:order val="1"/>
          <c:tx>
            <c:strRef>
              <c:f>'Country tool'!$D$138</c:f>
              <c:strCache>
                <c:ptCount val="1"/>
                <c:pt idx="0">
                  <c:v>Cofinancing
costs</c:v>
                </c:pt>
              </c:strCache>
            </c:strRef>
          </c:tx>
          <c:spPr>
            <a:gradFill>
              <a:gsLst>
                <a:gs pos="0">
                  <a:srgbClr val="E83A2E"/>
                </a:gs>
                <a:gs pos="50000">
                  <a:srgbClr val="F1877F"/>
                </a:gs>
                <a:gs pos="100000">
                  <a:srgbClr val="E83A2E"/>
                </a:gs>
              </a:gsLst>
              <a:lin ang="0" scaled="1"/>
            </a:gradFill>
          </c:spPr>
          <c:cat>
            <c:numRef>
              <c:f>'Country tool'!$F$29:$N$29</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'Country tool'!$F$138:$N$138</c:f>
              <c:numCache>
                <c:formatCode>_("$"* #,##0_);_("$"* \(#,##0\);_("$"* "-"_);_(@_)</c:formatCode>
                <c:ptCount val="9"/>
                <c:pt idx="0">
                  <c:v>199553.0</c:v>
                </c:pt>
                <c:pt idx="1">
                  <c:v>477561.0</c:v>
                </c:pt>
                <c:pt idx="2">
                  <c:v>769171.0</c:v>
                </c:pt>
                <c:pt idx="3">
                  <c:v>1.139829E6</c:v>
                </c:pt>
                <c:pt idx="4">
                  <c:v>569736.0</c:v>
                </c:pt>
                <c:pt idx="5">
                  <c:v>0.0</c:v>
                </c:pt>
                <c:pt idx="6">
                  <c:v>0.0</c:v>
                </c:pt>
                <c:pt idx="7">
                  <c:v>0.0</c:v>
                </c:pt>
                <c:pt idx="8">
                  <c:v>0.0</c:v>
                </c:pt>
              </c:numCache>
            </c:numRef>
          </c:val>
        </c:ser>
        <c:ser>
          <c:idx val="2"/>
          <c:order val="2"/>
          <c:tx>
            <c:strRef>
              <c:f>'Country tool'!$D$158</c:f>
              <c:strCache>
                <c:ptCount val="1"/>
                <c:pt idx="0">
                  <c:v>GAVI vaccines fully
country financed</c:v>
                </c:pt>
              </c:strCache>
            </c:strRef>
          </c:tx>
          <c:spPr>
            <a:gradFill>
              <a:gsLst>
                <a:gs pos="0">
                  <a:srgbClr val="016C64"/>
                </a:gs>
                <a:gs pos="50000">
                  <a:srgbClr val="01B7AA"/>
                </a:gs>
                <a:gs pos="100000">
                  <a:srgbClr val="016C64"/>
                </a:gs>
              </a:gsLst>
              <a:lin ang="0" scaled="1"/>
            </a:gradFill>
          </c:spPr>
          <c:cat>
            <c:numRef>
              <c:f>'Country tool'!$F$29:$N$29</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'Country tool'!$F$158:$N$158</c:f>
              <c:numCache>
                <c:formatCode>_("$"* #,##0_);_("$"* \(#,##0\);_("$"* "-"_);_(@_)</c:formatCode>
                <c:ptCount val="9"/>
                <c:pt idx="0">
                  <c:v>1.32974784E6</c:v>
                </c:pt>
                <c:pt idx="1">
                  <c:v>1.37925193E6</c:v>
                </c:pt>
                <c:pt idx="2">
                  <c:v>1.33574647E6</c:v>
                </c:pt>
                <c:pt idx="3">
                  <c:v>1.34835835E6</c:v>
                </c:pt>
                <c:pt idx="4">
                  <c:v>2.28673457E6</c:v>
                </c:pt>
                <c:pt idx="5">
                  <c:v>3.01912085E6</c:v>
                </c:pt>
                <c:pt idx="6">
                  <c:v>2.9975494E6</c:v>
                </c:pt>
                <c:pt idx="7">
                  <c:v>2.961585875E6</c:v>
                </c:pt>
                <c:pt idx="8">
                  <c:v>2.815743055E6</c:v>
                </c:pt>
              </c:numCache>
            </c:numRef>
          </c:val>
        </c:ser>
        <c:gapWidth val="75"/>
        <c:overlap val="100"/>
        <c:axId val="266609976"/>
        <c:axId val="266604088"/>
      </c:barChart>
      <c:lineChart>
        <c:grouping val="stacked"/>
        <c:ser>
          <c:idx val="3"/>
          <c:order val="3"/>
          <c:tx>
            <c:strRef>
              <c:f>'Country tool'!$C$329</c:f>
              <c:strCache>
                <c:ptCount val="1"/>
                <c:pt idx="0">
                  <c:v>Total vaccine costs 
to country as % GGHE</c:v>
                </c:pt>
              </c:strCache>
            </c:strRef>
          </c:tx>
          <c:spPr>
            <a:ln>
              <a:solidFill>
                <a:schemeClr val="tx2">
                  <a:lumMod val="60000"/>
                  <a:lumOff val="40000"/>
                </a:schemeClr>
              </a:solidFill>
            </a:ln>
          </c:spPr>
          <c:marker>
            <c:symbol val="diamond"/>
            <c:size val="6"/>
            <c:spPr>
              <a:solidFill>
                <a:srgbClr val="FFFF00"/>
              </a:solidFill>
              <a:ln>
                <a:solidFill>
                  <a:schemeClr val="tx2">
                    <a:lumMod val="60000"/>
                    <a:lumOff val="40000"/>
                  </a:schemeClr>
                </a:solidFill>
              </a:ln>
            </c:spPr>
          </c:marker>
          <c:cat>
            <c:numRef>
              <c:f>'Country tool'!$F$29:$N$29</c:f>
              <c:numCache>
                <c:formatCode>General</c:formatCode>
                <c:ptCount val="9"/>
                <c:pt idx="0">
                  <c:v>2012.0</c:v>
                </c:pt>
                <c:pt idx="1">
                  <c:v>2013.0</c:v>
                </c:pt>
                <c:pt idx="2">
                  <c:v>2014.0</c:v>
                </c:pt>
                <c:pt idx="3">
                  <c:v>2015.0</c:v>
                </c:pt>
                <c:pt idx="4">
                  <c:v>2016.0</c:v>
                </c:pt>
                <c:pt idx="5">
                  <c:v>2017.0</c:v>
                </c:pt>
                <c:pt idx="6">
                  <c:v>2018.0</c:v>
                </c:pt>
                <c:pt idx="7">
                  <c:v>2019.0</c:v>
                </c:pt>
                <c:pt idx="8">
                  <c:v>2020.0</c:v>
                </c:pt>
              </c:numCache>
            </c:numRef>
          </c:cat>
          <c:val>
            <c:numRef>
              <c:f>'Country tool'!$F$329:$N$329</c:f>
              <c:numCache>
                <c:formatCode>0.00%</c:formatCode>
                <c:ptCount val="9"/>
                <c:pt idx="0">
                  <c:v>0.00512133243927814</c:v>
                </c:pt>
                <c:pt idx="1">
                  <c:v>0.00583556851352216</c:v>
                </c:pt>
                <c:pt idx="2">
                  <c:v>0.00623567823221479</c:v>
                </c:pt>
                <c:pt idx="3">
                  <c:v>0.00694300609464558</c:v>
                </c:pt>
                <c:pt idx="4">
                  <c:v>0.00752332898080018</c:v>
                </c:pt>
                <c:pt idx="5">
                  <c:v>0.00752386514217249</c:v>
                </c:pt>
                <c:pt idx="6">
                  <c:v>0.00708225316890103</c:v>
                </c:pt>
                <c:pt idx="7">
                  <c:v>0.00663501435745094</c:v>
                </c:pt>
                <c:pt idx="8">
                  <c:v>0.00598920625671849</c:v>
                </c:pt>
              </c:numCache>
            </c:numRef>
          </c:val>
        </c:ser>
        <c:marker val="1"/>
        <c:axId val="266595080"/>
        <c:axId val="266597880"/>
      </c:lineChart>
      <c:catAx>
        <c:axId val="266609976"/>
        <c:scaling>
          <c:orientation val="minMax"/>
        </c:scaling>
        <c:axPos val="b"/>
        <c:numFmt formatCode="General" sourceLinked="1"/>
        <c:tickLblPos val="nextTo"/>
        <c:txPr>
          <a:bodyPr/>
          <a:lstStyle/>
          <a:p>
            <a:pPr>
              <a:defRPr sz="1000">
                <a:solidFill>
                  <a:sysClr val="windowText" lastClr="000000"/>
                </a:solidFill>
              </a:defRPr>
            </a:pPr>
            <a:endParaRPr lang="en-US"/>
          </a:p>
        </c:txPr>
        <c:crossAx val="266604088"/>
        <c:crosses val="autoZero"/>
        <c:auto val="1"/>
        <c:lblAlgn val="ctr"/>
        <c:lblOffset val="100"/>
      </c:catAx>
      <c:valAx>
        <c:axId val="266604088"/>
        <c:scaling>
          <c:orientation val="minMax"/>
        </c:scaling>
        <c:axPos val="l"/>
        <c:majorGridlines/>
        <c:numFmt formatCode="&quot;$&quot;#,##0.0" sourceLinked="0"/>
        <c:tickLblPos val="nextTo"/>
        <c:txPr>
          <a:bodyPr/>
          <a:lstStyle/>
          <a:p>
            <a:pPr>
              <a:defRPr sz="1000">
                <a:solidFill>
                  <a:sysClr val="windowText" lastClr="000000"/>
                </a:solidFill>
              </a:defRPr>
            </a:pPr>
            <a:endParaRPr lang="en-US"/>
          </a:p>
        </c:txPr>
        <c:crossAx val="266609976"/>
        <c:crosses val="autoZero"/>
        <c:crossBetween val="between"/>
        <c:dispUnits>
          <c:builtInUnit val="millions"/>
          <c:dispUnitsLbl>
            <c:layout>
              <c:manualLayout>
                <c:xMode val="edge"/>
                <c:yMode val="edge"/>
                <c:x val="0.0231441382327209"/>
                <c:y val="0.104522637795276"/>
              </c:manualLayout>
            </c:layout>
            <c:txPr>
              <a:bodyPr/>
              <a:lstStyle/>
              <a:p>
                <a:pPr>
                  <a:defRPr>
                    <a:solidFill>
                      <a:sysClr val="windowText" lastClr="000000"/>
                    </a:solidFill>
                  </a:defRPr>
                </a:pPr>
                <a:endParaRPr lang="en-US"/>
              </a:p>
            </c:txPr>
          </c:dispUnitsLbl>
        </c:dispUnits>
      </c:valAx>
      <c:valAx>
        <c:axId val="266597880"/>
        <c:scaling>
          <c:orientation val="minMax"/>
          <c:max val="0.02"/>
          <c:min val="0.0"/>
        </c:scaling>
        <c:axPos val="r"/>
        <c:numFmt formatCode="0.00%" sourceLinked="1"/>
        <c:tickLblPos val="nextTo"/>
        <c:txPr>
          <a:bodyPr/>
          <a:lstStyle/>
          <a:p>
            <a:pPr>
              <a:defRPr sz="1000"/>
            </a:pPr>
            <a:endParaRPr lang="en-US"/>
          </a:p>
        </c:txPr>
        <c:crossAx val="266595080"/>
        <c:crosses val="max"/>
        <c:crossBetween val="between"/>
        <c:majorUnit val="0.00250000000000002"/>
      </c:valAx>
      <c:catAx>
        <c:axId val="266595080"/>
        <c:scaling>
          <c:orientation val="minMax"/>
        </c:scaling>
        <c:delete val="1"/>
        <c:axPos val="b"/>
        <c:numFmt formatCode="General" sourceLinked="1"/>
        <c:tickLblPos val="none"/>
        <c:crossAx val="266597880"/>
        <c:crosses val="autoZero"/>
        <c:auto val="1"/>
        <c:lblAlgn val="ctr"/>
        <c:lblOffset val="100"/>
      </c:catAx>
      <c:spPr>
        <a:blipFill>
          <a:blip xmlns:r="http://schemas.openxmlformats.org/officeDocument/2006/relationships" r:embed="rId1"/>
          <a:stretch>
            <a:fillRect/>
          </a:stretch>
        </a:blipFill>
      </c:spPr>
    </c:plotArea>
    <c:legend>
      <c:legendPos val="b"/>
      <c:layout>
        <c:manualLayout>
          <c:xMode val="edge"/>
          <c:yMode val="edge"/>
          <c:x val="0.0109820843457309"/>
          <c:y val="0.880626239901831"/>
          <c:w val="0.958858792650922"/>
          <c:h val="0.0985945393189496"/>
        </c:manualLayout>
      </c:layout>
      <c:txPr>
        <a:bodyPr/>
        <a:lstStyle/>
        <a:p>
          <a:pPr>
            <a:defRPr sz="1000">
              <a:solidFill>
                <a:sysClr val="windowText" lastClr="000000"/>
              </a:solidFill>
            </a:defRPr>
          </a:pPr>
          <a:endParaRPr lang="en-US"/>
        </a:p>
      </c:txPr>
    </c:legend>
    <c:plotVisOnly val="1"/>
    <c:dispBlanksAs val="zero"/>
  </c:chart>
  <c:spPr>
    <a:solidFill>
      <a:schemeClr val="bg2">
        <a:lumMod val="75000"/>
      </a:schemeClr>
    </a:solidFill>
    <a:scene3d>
      <a:camera prst="orthographicFront"/>
      <a:lightRig rig="threePt" dir="t"/>
    </a:scene3d>
    <a:sp3d prstMaterial="plastic">
      <a:bevelT w="114300" prst="hardEdge"/>
    </a:sp3d>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739D3-ACE3-432C-99A4-54635F53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2162</Words>
  <Characters>12327</Characters>
  <Application>Microsoft Word 12.1.0</Application>
  <DocSecurity>0</DocSecurity>
  <Lines>102</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Ryckman</dc:creator>
  <cp:lastModifiedBy>Tess Ryckman</cp:lastModifiedBy>
  <cp:revision>2</cp:revision>
  <cp:lastPrinted>2012-10-17T13:32:00Z</cp:lastPrinted>
  <dcterms:created xsi:type="dcterms:W3CDTF">2013-10-13T22:43:00Z</dcterms:created>
  <dcterms:modified xsi:type="dcterms:W3CDTF">2013-10-13T22:43:00Z</dcterms:modified>
</cp:coreProperties>
</file>