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62" w:rsidRPr="00C52C33" w:rsidRDefault="00313F62" w:rsidP="00313F62">
      <w:pPr>
        <w:pStyle w:val="ReportText"/>
        <w:rPr>
          <w:rFonts w:ascii="Times" w:hAnsi="Times"/>
          <w:b/>
          <w:sz w:val="32"/>
          <w:szCs w:val="32"/>
        </w:rPr>
      </w:pPr>
      <w:r w:rsidRPr="00C52C33">
        <w:rPr>
          <w:rFonts w:ascii="Times" w:hAnsi="Times"/>
          <w:b/>
          <w:sz w:val="32"/>
          <w:szCs w:val="32"/>
        </w:rPr>
        <w:t>Annex 4.1</w:t>
      </w:r>
      <w:r>
        <w:rPr>
          <w:rFonts w:ascii="Times" w:hAnsi="Times"/>
          <w:b/>
          <w:sz w:val="32"/>
          <w:szCs w:val="32"/>
        </w:rPr>
        <w:t>.</w:t>
      </w:r>
      <w:r w:rsidRPr="00C52C33">
        <w:rPr>
          <w:rFonts w:ascii="Times" w:hAnsi="Times"/>
          <w:b/>
          <w:sz w:val="32"/>
          <w:szCs w:val="32"/>
        </w:rPr>
        <w:t xml:space="preserve"> Sharing of Information Gained at Skills Acquisition Workshops</w:t>
      </w:r>
      <w:r w:rsidRPr="00C52C33">
        <w:rPr>
          <w:rStyle w:val="FootnoteReference"/>
          <w:rFonts w:ascii="Times" w:hAnsi="Times"/>
          <w:b/>
          <w:sz w:val="32"/>
          <w:szCs w:val="32"/>
        </w:rPr>
        <w:footnoteReference w:id="1"/>
      </w:r>
    </w:p>
    <w:p w:rsidR="00313F62" w:rsidRPr="00C52C33" w:rsidRDefault="00313F62" w:rsidP="00313F62">
      <w:pPr>
        <w:pStyle w:val="ReportText"/>
        <w:spacing w:before="0" w:after="0" w:line="23" w:lineRule="atLeast"/>
        <w:rPr>
          <w:rFonts w:ascii="Times" w:hAnsi="Times"/>
          <w:sz w:val="22"/>
          <w:szCs w:val="22"/>
        </w:rPr>
      </w:pPr>
      <w:r w:rsidRPr="00C52C33">
        <w:rPr>
          <w:rFonts w:ascii="Times" w:hAnsi="Times"/>
          <w:sz w:val="22"/>
          <w:szCs w:val="22"/>
        </w:rPr>
        <w:t>The GDN Project strived to increase participating organizations’ competence in policy research and communicating the results of their analysis in part through transferring knowledge gained a workshops to other members of each think tank’s staff.</w:t>
      </w:r>
      <w:r>
        <w:rPr>
          <w:rFonts w:ascii="Times" w:hAnsi="Times"/>
          <w:sz w:val="22"/>
          <w:szCs w:val="22"/>
        </w:rPr>
        <w:t xml:space="preserve"> </w:t>
      </w:r>
      <w:r w:rsidRPr="00C52C33">
        <w:rPr>
          <w:rFonts w:ascii="Times" w:hAnsi="Times"/>
          <w:sz w:val="22"/>
          <w:szCs w:val="22"/>
        </w:rPr>
        <w:t>During the period under observation, two workshops were held in the course of the project:</w:t>
      </w:r>
      <w:r>
        <w:rPr>
          <w:rFonts w:ascii="Times" w:hAnsi="Times"/>
          <w:sz w:val="22"/>
          <w:szCs w:val="22"/>
        </w:rPr>
        <w:t xml:space="preserve"> </w:t>
      </w:r>
      <w:r w:rsidRPr="00C52C33">
        <w:rPr>
          <w:rFonts w:ascii="Times" w:hAnsi="Times"/>
          <w:sz w:val="22"/>
          <w:szCs w:val="22"/>
        </w:rPr>
        <w:t>the launch workshops, one in Asia and one in Africa, in summer 2009, and another held in March 2010 aimed primarily at peer-reviewing work accomplished since the launch workshop.</w:t>
      </w:r>
      <w:r>
        <w:rPr>
          <w:rFonts w:ascii="Times" w:hAnsi="Times"/>
          <w:sz w:val="22"/>
          <w:szCs w:val="22"/>
        </w:rPr>
        <w:t xml:space="preserve"> </w:t>
      </w:r>
      <w:r w:rsidRPr="00C52C33">
        <w:rPr>
          <w:rFonts w:ascii="Times" w:hAnsi="Times"/>
          <w:sz w:val="22"/>
          <w:szCs w:val="22"/>
        </w:rPr>
        <w:t>The topics of the presentations made are summarized in Table A4.1.1.</w:t>
      </w:r>
    </w:p>
    <w:p w:rsidR="00313F62" w:rsidRDefault="00313F62" w:rsidP="00313F62">
      <w:pPr>
        <w:pStyle w:val="ExhibitTitle"/>
        <w:rPr>
          <w:rFonts w:ascii="Times" w:hAnsi="Times"/>
          <w:color w:val="auto"/>
        </w:rPr>
      </w:pPr>
      <w:bookmarkStart w:id="0" w:name="_Toc272484706"/>
      <w:r w:rsidRPr="00C52C33">
        <w:rPr>
          <w:rFonts w:ascii="Times" w:hAnsi="Times"/>
          <w:color w:val="auto"/>
        </w:rPr>
        <w:t>Table A4.1.1</w:t>
      </w:r>
      <w:r w:rsidRPr="00C52C33">
        <w:rPr>
          <w:rFonts w:ascii="Times" w:hAnsi="Times"/>
          <w:color w:val="auto"/>
        </w:rPr>
        <w:tab/>
        <w:t>Topics of Presentations at Project Workshops</w:t>
      </w:r>
      <w:bookmarkEnd w:id="0"/>
    </w:p>
    <w:tbl>
      <w:tblPr>
        <w:tblStyle w:val="TableGrid1"/>
        <w:tblW w:w="9360" w:type="dxa"/>
        <w:tblLook w:val="04A0" w:firstRow="1" w:lastRow="0" w:firstColumn="1" w:lastColumn="0" w:noHBand="0" w:noVBand="1"/>
      </w:tblPr>
      <w:tblGrid>
        <w:gridCol w:w="1628"/>
        <w:gridCol w:w="3862"/>
        <w:gridCol w:w="3870"/>
      </w:tblGrid>
      <w:tr w:rsidR="00313F62" w:rsidRPr="008E006C" w:rsidTr="00313F62">
        <w:tc>
          <w:tcPr>
            <w:tcW w:w="0" w:type="auto"/>
            <w:vMerge w:val="restart"/>
          </w:tcPr>
          <w:p w:rsidR="00313F62" w:rsidRPr="008E006C" w:rsidRDefault="00313F62" w:rsidP="00D87134">
            <w:pPr>
              <w:keepLines/>
              <w:spacing w:before="20" w:after="20"/>
              <w:jc w:val="center"/>
              <w:rPr>
                <w:rFonts w:cs="Times New Roman"/>
                <w:b/>
                <w:color w:val="FFFFFF" w:themeColor="background1"/>
                <w:sz w:val="20"/>
                <w:szCs w:val="20"/>
              </w:rPr>
            </w:pPr>
            <w:bookmarkStart w:id="1" w:name="_GoBack" w:colFirst="1" w:colLast="1"/>
            <w:r w:rsidRPr="008E006C">
              <w:rPr>
                <w:rFonts w:cs="Times New Roman"/>
                <w:b/>
                <w:color w:val="FFFFFF" w:themeColor="background1"/>
                <w:sz w:val="20"/>
                <w:szCs w:val="20"/>
              </w:rPr>
              <w:t>Area</w:t>
            </w:r>
          </w:p>
        </w:tc>
        <w:tc>
          <w:tcPr>
            <w:tcW w:w="0" w:type="auto"/>
            <w:gridSpan w:val="2"/>
          </w:tcPr>
          <w:p w:rsidR="00313F62" w:rsidRPr="00313F62" w:rsidRDefault="00313F62" w:rsidP="00D87134">
            <w:pPr>
              <w:keepLines/>
              <w:spacing w:before="20" w:after="20"/>
              <w:jc w:val="center"/>
              <w:rPr>
                <w:rFonts w:cs="Times New Roman"/>
                <w:b/>
                <w:sz w:val="20"/>
                <w:szCs w:val="20"/>
              </w:rPr>
            </w:pPr>
            <w:r w:rsidRPr="00313F62">
              <w:rPr>
                <w:rFonts w:cs="Times New Roman"/>
                <w:b/>
                <w:sz w:val="20"/>
                <w:szCs w:val="20"/>
              </w:rPr>
              <w:t>Workshop</w:t>
            </w:r>
          </w:p>
        </w:tc>
      </w:tr>
      <w:bookmarkEnd w:id="1"/>
      <w:tr w:rsidR="00313F62" w:rsidRPr="008E006C" w:rsidTr="00313F62">
        <w:tc>
          <w:tcPr>
            <w:tcW w:w="0" w:type="auto"/>
            <w:vMerge/>
          </w:tcPr>
          <w:p w:rsidR="00313F62" w:rsidRPr="008E006C" w:rsidRDefault="00313F62" w:rsidP="00D87134">
            <w:pPr>
              <w:keepLines/>
              <w:spacing w:before="20" w:after="20"/>
              <w:rPr>
                <w:rFonts w:cs="Times New Roman"/>
                <w:sz w:val="20"/>
                <w:szCs w:val="20"/>
              </w:rPr>
            </w:pPr>
          </w:p>
        </w:tc>
        <w:tc>
          <w:tcPr>
            <w:tcW w:w="3862" w:type="dxa"/>
          </w:tcPr>
          <w:p w:rsidR="00313F62" w:rsidRPr="008E006C" w:rsidRDefault="00313F62" w:rsidP="00D87134">
            <w:pPr>
              <w:keepLines/>
              <w:spacing w:before="20" w:after="20"/>
              <w:jc w:val="center"/>
              <w:rPr>
                <w:rFonts w:cs="Times New Roman"/>
                <w:b/>
                <w:sz w:val="20"/>
                <w:szCs w:val="20"/>
              </w:rPr>
            </w:pPr>
            <w:r w:rsidRPr="008E006C">
              <w:rPr>
                <w:rFonts w:cs="Times New Roman"/>
                <w:b/>
                <w:sz w:val="20"/>
                <w:szCs w:val="20"/>
              </w:rPr>
              <w:t>Summer 2009</w:t>
            </w:r>
          </w:p>
        </w:tc>
        <w:tc>
          <w:tcPr>
            <w:tcW w:w="3870" w:type="dxa"/>
          </w:tcPr>
          <w:p w:rsidR="00313F62" w:rsidRPr="008E006C" w:rsidRDefault="00313F62" w:rsidP="00D87134">
            <w:pPr>
              <w:keepLines/>
              <w:spacing w:before="20" w:after="20"/>
              <w:jc w:val="center"/>
              <w:rPr>
                <w:rFonts w:cs="Times New Roman"/>
                <w:b/>
                <w:sz w:val="20"/>
                <w:szCs w:val="20"/>
              </w:rPr>
            </w:pPr>
            <w:r w:rsidRPr="008E006C">
              <w:rPr>
                <w:rFonts w:cs="Times New Roman"/>
                <w:b/>
                <w:sz w:val="20"/>
                <w:szCs w:val="20"/>
              </w:rPr>
              <w:t>March 2010</w:t>
            </w:r>
          </w:p>
        </w:tc>
      </w:tr>
      <w:tr w:rsidR="00313F62" w:rsidRPr="008E006C" w:rsidTr="00313F62">
        <w:trPr>
          <w:trHeight w:val="432"/>
        </w:trPr>
        <w:tc>
          <w:tcPr>
            <w:tcW w:w="0" w:type="auto"/>
          </w:tcPr>
          <w:p w:rsidR="00313F62" w:rsidRPr="008E006C" w:rsidRDefault="00313F62" w:rsidP="00D87134">
            <w:pPr>
              <w:keepLines/>
              <w:spacing w:before="20" w:after="20"/>
              <w:rPr>
                <w:rFonts w:cs="Times New Roman"/>
                <w:b/>
                <w:i/>
                <w:sz w:val="20"/>
                <w:szCs w:val="20"/>
              </w:rPr>
            </w:pPr>
            <w:r w:rsidRPr="008E006C">
              <w:rPr>
                <w:rFonts w:cs="Times New Roman"/>
                <w:b/>
                <w:i/>
                <w:sz w:val="20"/>
                <w:szCs w:val="20"/>
              </w:rPr>
              <w:t>Analysis</w:t>
            </w:r>
          </w:p>
        </w:tc>
        <w:tc>
          <w:tcPr>
            <w:tcW w:w="3862" w:type="dxa"/>
          </w:tcPr>
          <w:p w:rsidR="00313F62" w:rsidRPr="008E006C" w:rsidRDefault="00313F62" w:rsidP="00D87134">
            <w:pPr>
              <w:keepLines/>
              <w:spacing w:before="20" w:after="20"/>
              <w:rPr>
                <w:rFonts w:cs="Times New Roman"/>
                <w:sz w:val="20"/>
                <w:szCs w:val="20"/>
              </w:rPr>
            </w:pPr>
            <w:r w:rsidRPr="008E006C">
              <w:rPr>
                <w:rFonts w:cs="Times New Roman"/>
                <w:sz w:val="20"/>
                <w:szCs w:val="20"/>
              </w:rPr>
              <w:t>PETS and absenteeism study methods and examples of such studies</w:t>
            </w:r>
          </w:p>
        </w:tc>
        <w:tc>
          <w:tcPr>
            <w:tcW w:w="3870" w:type="dxa"/>
          </w:tcPr>
          <w:p w:rsidR="00313F62" w:rsidRPr="008E006C" w:rsidRDefault="00313F62" w:rsidP="00D87134">
            <w:pPr>
              <w:keepLines/>
              <w:spacing w:before="20" w:after="20"/>
              <w:rPr>
                <w:rFonts w:cs="Times New Roman"/>
                <w:sz w:val="20"/>
                <w:szCs w:val="20"/>
              </w:rPr>
            </w:pPr>
            <w:r w:rsidRPr="008E006C">
              <w:rPr>
                <w:rFonts w:cs="Times New Roman"/>
                <w:sz w:val="20"/>
                <w:szCs w:val="20"/>
              </w:rPr>
              <w:t>Cost effectiveness analysis</w:t>
            </w:r>
          </w:p>
        </w:tc>
      </w:tr>
      <w:tr w:rsidR="00313F62" w:rsidRPr="008E006C" w:rsidTr="00313F62">
        <w:trPr>
          <w:trHeight w:val="432"/>
        </w:trPr>
        <w:tc>
          <w:tcPr>
            <w:tcW w:w="0" w:type="auto"/>
          </w:tcPr>
          <w:p w:rsidR="00313F62" w:rsidRPr="008E006C" w:rsidRDefault="00313F62" w:rsidP="00D87134">
            <w:pPr>
              <w:keepLines/>
              <w:spacing w:before="20" w:after="20"/>
              <w:rPr>
                <w:rFonts w:cs="Times New Roman"/>
                <w:sz w:val="20"/>
                <w:szCs w:val="20"/>
              </w:rPr>
            </w:pPr>
          </w:p>
        </w:tc>
        <w:tc>
          <w:tcPr>
            <w:tcW w:w="3862" w:type="dxa"/>
          </w:tcPr>
          <w:p w:rsidR="00313F62" w:rsidRPr="008E006C" w:rsidRDefault="00313F62" w:rsidP="00D87134">
            <w:pPr>
              <w:keepLines/>
              <w:spacing w:before="20" w:after="20"/>
              <w:rPr>
                <w:rFonts w:cs="Times New Roman"/>
                <w:sz w:val="20"/>
                <w:szCs w:val="20"/>
              </w:rPr>
            </w:pPr>
            <w:r w:rsidRPr="008E006C">
              <w:rPr>
                <w:rFonts w:cs="Times New Roman"/>
                <w:sz w:val="20"/>
                <w:szCs w:val="20"/>
              </w:rPr>
              <w:t>“Technical support” in sampling, survey design, and data analysis</w:t>
            </w:r>
          </w:p>
        </w:tc>
        <w:tc>
          <w:tcPr>
            <w:tcW w:w="3870" w:type="dxa"/>
          </w:tcPr>
          <w:p w:rsidR="00313F62" w:rsidRPr="008E006C" w:rsidRDefault="00313F62" w:rsidP="00D87134">
            <w:pPr>
              <w:keepLines/>
              <w:spacing w:before="20" w:after="20"/>
              <w:rPr>
                <w:rFonts w:cs="Times New Roman"/>
                <w:sz w:val="20"/>
                <w:szCs w:val="20"/>
              </w:rPr>
            </w:pPr>
          </w:p>
        </w:tc>
      </w:tr>
      <w:tr w:rsidR="00313F62" w:rsidRPr="008E006C" w:rsidTr="00313F62">
        <w:trPr>
          <w:trHeight w:val="432"/>
        </w:trPr>
        <w:tc>
          <w:tcPr>
            <w:tcW w:w="0" w:type="auto"/>
          </w:tcPr>
          <w:p w:rsidR="00313F62" w:rsidRPr="008E006C" w:rsidRDefault="00313F62" w:rsidP="00D87134">
            <w:pPr>
              <w:keepLines/>
              <w:spacing w:before="20" w:after="20"/>
              <w:rPr>
                <w:rFonts w:cs="Times New Roman"/>
                <w:b/>
                <w:i/>
                <w:sz w:val="20"/>
                <w:szCs w:val="20"/>
              </w:rPr>
            </w:pPr>
            <w:r w:rsidRPr="008E006C">
              <w:rPr>
                <w:rFonts w:cs="Times New Roman"/>
                <w:b/>
                <w:i/>
                <w:sz w:val="20"/>
                <w:szCs w:val="20"/>
              </w:rPr>
              <w:t>Communications</w:t>
            </w:r>
          </w:p>
        </w:tc>
        <w:tc>
          <w:tcPr>
            <w:tcW w:w="3862" w:type="dxa"/>
          </w:tcPr>
          <w:p w:rsidR="00313F62" w:rsidRPr="008E006C" w:rsidRDefault="00313F62" w:rsidP="00D87134">
            <w:pPr>
              <w:keepLines/>
              <w:spacing w:before="20" w:after="20"/>
              <w:rPr>
                <w:rFonts w:cs="Times New Roman"/>
                <w:sz w:val="20"/>
                <w:szCs w:val="20"/>
              </w:rPr>
            </w:pPr>
            <w:r w:rsidRPr="008E006C">
              <w:rPr>
                <w:rFonts w:cs="Times New Roman"/>
                <w:sz w:val="20"/>
                <w:szCs w:val="20"/>
              </w:rPr>
              <w:t>Advocacy: case studies from past grantees</w:t>
            </w:r>
          </w:p>
        </w:tc>
        <w:tc>
          <w:tcPr>
            <w:tcW w:w="3870" w:type="dxa"/>
          </w:tcPr>
          <w:p w:rsidR="00313F62" w:rsidRPr="008E006C" w:rsidRDefault="00313F62" w:rsidP="00D87134">
            <w:pPr>
              <w:keepLines/>
              <w:spacing w:before="20" w:after="20"/>
              <w:rPr>
                <w:rFonts w:cs="Times New Roman"/>
                <w:sz w:val="20"/>
                <w:szCs w:val="20"/>
              </w:rPr>
            </w:pPr>
            <w:r w:rsidRPr="008E006C">
              <w:rPr>
                <w:rFonts w:cs="Times New Roman"/>
                <w:sz w:val="20"/>
                <w:szCs w:val="20"/>
              </w:rPr>
              <w:t>Constructive engagement &amp; communications to achieve results</w:t>
            </w:r>
          </w:p>
        </w:tc>
      </w:tr>
      <w:tr w:rsidR="00313F62" w:rsidRPr="008E006C" w:rsidTr="00313F62">
        <w:trPr>
          <w:trHeight w:val="432"/>
        </w:trPr>
        <w:tc>
          <w:tcPr>
            <w:tcW w:w="0" w:type="auto"/>
          </w:tcPr>
          <w:p w:rsidR="00313F62" w:rsidRPr="008E006C" w:rsidRDefault="00313F62" w:rsidP="00D87134">
            <w:pPr>
              <w:keepLines/>
              <w:spacing w:before="20" w:after="20"/>
              <w:rPr>
                <w:rFonts w:cs="Times New Roman"/>
                <w:sz w:val="20"/>
                <w:szCs w:val="20"/>
              </w:rPr>
            </w:pPr>
          </w:p>
        </w:tc>
        <w:tc>
          <w:tcPr>
            <w:tcW w:w="3862" w:type="dxa"/>
          </w:tcPr>
          <w:p w:rsidR="00313F62" w:rsidRPr="008E006C" w:rsidRDefault="00313F62" w:rsidP="00D87134">
            <w:pPr>
              <w:keepLines/>
              <w:spacing w:before="20" w:after="20"/>
              <w:rPr>
                <w:rFonts w:cs="Times New Roman"/>
                <w:sz w:val="20"/>
                <w:szCs w:val="20"/>
              </w:rPr>
            </w:pPr>
            <w:r w:rsidRPr="008E006C">
              <w:rPr>
                <w:rFonts w:cs="Times New Roman"/>
                <w:sz w:val="20"/>
                <w:szCs w:val="20"/>
              </w:rPr>
              <w:t>Advocacy: best practices</w:t>
            </w:r>
          </w:p>
        </w:tc>
        <w:tc>
          <w:tcPr>
            <w:tcW w:w="3870" w:type="dxa"/>
          </w:tcPr>
          <w:p w:rsidR="00313F62" w:rsidRPr="008E006C" w:rsidRDefault="00313F62" w:rsidP="00D87134">
            <w:pPr>
              <w:keepLines/>
              <w:spacing w:before="20" w:after="20"/>
              <w:rPr>
                <w:rFonts w:cs="Times New Roman"/>
                <w:sz w:val="20"/>
                <w:szCs w:val="20"/>
              </w:rPr>
            </w:pPr>
          </w:p>
        </w:tc>
      </w:tr>
    </w:tbl>
    <w:p w:rsidR="00313F62" w:rsidRDefault="00313F62" w:rsidP="00313F62">
      <w:pPr>
        <w:pStyle w:val="ExhibitTitle"/>
        <w:ind w:left="720"/>
        <w:rPr>
          <w:rFonts w:ascii="Times" w:hAnsi="Times"/>
          <w:color w:val="auto"/>
        </w:rPr>
      </w:pPr>
      <w:r>
        <w:rPr>
          <w:rFonts w:ascii="Times" w:eastAsia="Calibri" w:hAnsi="Times"/>
          <w:b w:val="0"/>
          <w:color w:val="auto"/>
          <w:sz w:val="18"/>
          <w:szCs w:val="18"/>
        </w:rPr>
        <w:t xml:space="preserve">a. </w:t>
      </w:r>
      <w:r w:rsidRPr="00CB657A">
        <w:rPr>
          <w:rFonts w:ascii="Times" w:eastAsia="Calibri" w:hAnsi="Times"/>
          <w:b w:val="0"/>
          <w:color w:val="auto"/>
          <w:sz w:val="18"/>
          <w:szCs w:val="18"/>
        </w:rPr>
        <w:t>Public Expenditure Tracking System</w:t>
      </w:r>
    </w:p>
    <w:p w:rsidR="00313F62" w:rsidRDefault="00313F62" w:rsidP="00313F62">
      <w:pPr>
        <w:pStyle w:val="ReportText"/>
        <w:spacing w:before="0" w:after="0" w:line="23" w:lineRule="atLeast"/>
        <w:rPr>
          <w:rFonts w:ascii="Times" w:hAnsi="Times"/>
          <w:sz w:val="22"/>
          <w:szCs w:val="22"/>
        </w:rPr>
      </w:pPr>
    </w:p>
    <w:p w:rsidR="00313F62" w:rsidRDefault="00313F62" w:rsidP="00313F62">
      <w:pPr>
        <w:pStyle w:val="ReportText"/>
        <w:spacing w:before="0" w:after="0" w:line="23" w:lineRule="atLeast"/>
        <w:rPr>
          <w:rFonts w:ascii="Times" w:hAnsi="Times"/>
          <w:sz w:val="22"/>
          <w:szCs w:val="22"/>
        </w:rPr>
      </w:pPr>
      <w:r w:rsidRPr="00C52C33">
        <w:rPr>
          <w:rFonts w:ascii="Times" w:hAnsi="Times"/>
          <w:sz w:val="22"/>
          <w:szCs w:val="22"/>
        </w:rPr>
        <w:t>The discussion presents information on how the knowledge gained through participation in the workshops was shared with other staff at the participating organizations and the effectiveness of the workshops in improving Participating Organizations’ (POs) communications practices.</w:t>
      </w:r>
      <w:r>
        <w:rPr>
          <w:rFonts w:ascii="Times" w:hAnsi="Times"/>
          <w:sz w:val="22"/>
          <w:szCs w:val="22"/>
        </w:rPr>
        <w:t xml:space="preserve"> </w:t>
      </w:r>
    </w:p>
    <w:p w:rsidR="00313F62" w:rsidRPr="00C52C33" w:rsidRDefault="00313F62" w:rsidP="00313F62">
      <w:pPr>
        <w:pStyle w:val="ReportText"/>
        <w:spacing w:before="0" w:after="0" w:line="23" w:lineRule="atLeast"/>
        <w:rPr>
          <w:rFonts w:ascii="Times" w:hAnsi="Times"/>
          <w:sz w:val="22"/>
          <w:szCs w:val="22"/>
        </w:rPr>
      </w:pPr>
    </w:p>
    <w:p w:rsidR="00313F62" w:rsidRPr="00C52C33" w:rsidRDefault="00313F62" w:rsidP="00313F62">
      <w:pPr>
        <w:pStyle w:val="Heading2"/>
        <w:spacing w:before="0" w:after="0" w:line="23" w:lineRule="atLeast"/>
        <w:rPr>
          <w:rFonts w:ascii="Times" w:hAnsi="Times"/>
          <w:sz w:val="22"/>
          <w:szCs w:val="22"/>
        </w:rPr>
      </w:pPr>
      <w:bookmarkStart w:id="2" w:name="_Toc272484687"/>
      <w:r w:rsidRPr="00C52C33">
        <w:rPr>
          <w:rFonts w:ascii="Times" w:hAnsi="Times"/>
          <w:sz w:val="22"/>
          <w:szCs w:val="22"/>
        </w:rPr>
        <w:t>Dissemination of Knowledge Gained at Project Workshops</w:t>
      </w:r>
      <w:bookmarkEnd w:id="2"/>
    </w:p>
    <w:p w:rsidR="00313F62" w:rsidRDefault="00313F62" w:rsidP="00313F62">
      <w:pPr>
        <w:pStyle w:val="ReportText"/>
        <w:tabs>
          <w:tab w:val="left" w:pos="0"/>
        </w:tabs>
        <w:spacing w:before="0" w:after="0" w:line="23" w:lineRule="atLeast"/>
        <w:rPr>
          <w:rFonts w:ascii="Times" w:hAnsi="Times"/>
          <w:sz w:val="22"/>
          <w:szCs w:val="22"/>
        </w:rPr>
      </w:pPr>
      <w:r w:rsidRPr="00C52C33">
        <w:rPr>
          <w:rFonts w:ascii="Times" w:hAnsi="Times"/>
          <w:sz w:val="22"/>
          <w:szCs w:val="22"/>
        </w:rPr>
        <w:t>To know whether the training of one or two staff from a project workshop is transformed into organizational capacity, one must determine the degree to which workshop attendees share information obtained in the workshop with others at the organization. If there is little sharing, the institution-level effects will be small, even though the individuals may have learned a lot and are using the new knowledge effectively.</w:t>
      </w:r>
      <w:r>
        <w:rPr>
          <w:rFonts w:ascii="Times" w:hAnsi="Times"/>
          <w:sz w:val="22"/>
          <w:szCs w:val="22"/>
        </w:rPr>
        <w:t xml:space="preserve"> </w:t>
      </w:r>
      <w:r w:rsidRPr="00C52C33">
        <w:rPr>
          <w:rFonts w:ascii="Times" w:hAnsi="Times"/>
          <w:sz w:val="22"/>
          <w:szCs w:val="22"/>
        </w:rPr>
        <w:t>With workshop participants being researchers, it is especially important for communications staff to be informed about the content of presentations in this sphere.</w:t>
      </w:r>
    </w:p>
    <w:p w:rsidR="00313F62" w:rsidRPr="00C52C33" w:rsidRDefault="00313F62" w:rsidP="00313F62">
      <w:pPr>
        <w:pStyle w:val="ReportText"/>
        <w:spacing w:before="0" w:after="0" w:line="23" w:lineRule="atLeast"/>
        <w:rPr>
          <w:rFonts w:ascii="Times" w:hAnsi="Times"/>
          <w:sz w:val="22"/>
          <w:szCs w:val="22"/>
        </w:rPr>
      </w:pPr>
    </w:p>
    <w:p w:rsidR="00313F62" w:rsidRPr="00C52C33" w:rsidRDefault="00313F62" w:rsidP="00313F62">
      <w:pPr>
        <w:spacing w:line="23" w:lineRule="atLeast"/>
        <w:rPr>
          <w:rFonts w:ascii="Times" w:hAnsi="Times"/>
        </w:rPr>
      </w:pPr>
      <w:r w:rsidRPr="00C52C33">
        <w:rPr>
          <w:rFonts w:ascii="Times" w:hAnsi="Times"/>
        </w:rPr>
        <w:t xml:space="preserve">Table A4.1.2 summarizes the information on within-institution sharing reported by </w:t>
      </w:r>
      <w:proofErr w:type="spellStart"/>
      <w:r w:rsidRPr="00C52C33">
        <w:rPr>
          <w:rFonts w:ascii="Times" w:hAnsi="Times"/>
        </w:rPr>
        <w:t>POs.</w:t>
      </w:r>
      <w:proofErr w:type="spellEnd"/>
      <w:r>
        <w:rPr>
          <w:rFonts w:ascii="Times" w:hAnsi="Times"/>
        </w:rPr>
        <w:t xml:space="preserve"> </w:t>
      </w:r>
      <w:r w:rsidRPr="00C52C33">
        <w:rPr>
          <w:rFonts w:ascii="Times" w:hAnsi="Times"/>
        </w:rPr>
        <w:t>The questionnaire included the list of possible actions that could have been taken shown in the table and included pace for other action types to be included.</w:t>
      </w:r>
      <w:r>
        <w:rPr>
          <w:rFonts w:ascii="Times" w:hAnsi="Times"/>
        </w:rPr>
        <w:t xml:space="preserve"> </w:t>
      </w:r>
    </w:p>
    <w:p w:rsidR="00313F62" w:rsidRPr="00C52C33" w:rsidRDefault="00313F62" w:rsidP="00313F62">
      <w:pPr>
        <w:rPr>
          <w:rFonts w:ascii="Times" w:hAnsi="Times"/>
          <w:b/>
          <w:color w:val="000080"/>
        </w:rPr>
      </w:pPr>
      <w:r w:rsidRPr="00C52C33">
        <w:rPr>
          <w:rFonts w:ascii="Times" w:hAnsi="Times"/>
        </w:rPr>
        <w:br w:type="page"/>
      </w:r>
    </w:p>
    <w:p w:rsidR="00313F62" w:rsidRDefault="00313F62" w:rsidP="00313F62">
      <w:pPr>
        <w:spacing w:line="23" w:lineRule="atLeast"/>
        <w:rPr>
          <w:rFonts w:ascii="Times" w:hAnsi="Times"/>
          <w:b/>
        </w:rPr>
      </w:pPr>
      <w:r w:rsidRPr="00E262C2">
        <w:rPr>
          <w:rFonts w:ascii="Times" w:hAnsi="Times"/>
          <w:b/>
        </w:rPr>
        <w:lastRenderedPageBreak/>
        <w:t>Table A4.1.2</w:t>
      </w:r>
      <w:r w:rsidRPr="00E262C2">
        <w:rPr>
          <w:rFonts w:ascii="Times" w:hAnsi="Times"/>
          <w:b/>
        </w:rPr>
        <w:tab/>
        <w:t>Actions Undertaken After Project Workshops</w:t>
      </w:r>
    </w:p>
    <w:tbl>
      <w:tblPr>
        <w:tblStyle w:val="TableGrid1"/>
        <w:tblW w:w="9360" w:type="dxa"/>
        <w:tblLook w:val="04A0" w:firstRow="1" w:lastRow="0" w:firstColumn="1" w:lastColumn="0" w:noHBand="0" w:noVBand="1"/>
      </w:tblPr>
      <w:tblGrid>
        <w:gridCol w:w="4752"/>
        <w:gridCol w:w="1148"/>
        <w:gridCol w:w="1895"/>
        <w:gridCol w:w="1145"/>
        <w:gridCol w:w="420"/>
      </w:tblGrid>
      <w:tr w:rsidR="00313F62" w:rsidRPr="008E006C" w:rsidTr="00313F62">
        <w:trPr>
          <w:trHeight w:val="300"/>
        </w:trPr>
        <w:tc>
          <w:tcPr>
            <w:tcW w:w="4752" w:type="dxa"/>
            <w:vMerge w:val="restart"/>
            <w:noWrap/>
            <w:hideMark/>
          </w:tcPr>
          <w:p w:rsidR="00313F62" w:rsidRPr="008E006C" w:rsidRDefault="00313F62" w:rsidP="00D87134">
            <w:pPr>
              <w:spacing w:before="20" w:after="20"/>
              <w:rPr>
                <w:rFonts w:cs="Times New Roman"/>
                <w:b/>
                <w:bCs/>
                <w:color w:val="FFFFFF" w:themeColor="background1"/>
                <w:sz w:val="20"/>
                <w:szCs w:val="20"/>
              </w:rPr>
            </w:pPr>
          </w:p>
        </w:tc>
        <w:tc>
          <w:tcPr>
            <w:tcW w:w="4608" w:type="dxa"/>
            <w:gridSpan w:val="4"/>
            <w:hideMark/>
          </w:tcPr>
          <w:p w:rsidR="00313F62" w:rsidRPr="00313F62" w:rsidRDefault="00313F62" w:rsidP="00D87134">
            <w:pPr>
              <w:spacing w:before="20" w:after="20"/>
              <w:jc w:val="center"/>
              <w:rPr>
                <w:rFonts w:cs="Times New Roman"/>
                <w:b/>
                <w:bCs/>
                <w:sz w:val="20"/>
                <w:szCs w:val="20"/>
              </w:rPr>
            </w:pPr>
            <w:proofErr w:type="spellStart"/>
            <w:r w:rsidRPr="00313F62">
              <w:rPr>
                <w:rFonts w:cs="Times New Roman"/>
                <w:b/>
                <w:bCs/>
                <w:sz w:val="20"/>
                <w:szCs w:val="20"/>
              </w:rPr>
              <w:t>Percents</w:t>
            </w:r>
            <w:proofErr w:type="spellEnd"/>
          </w:p>
        </w:tc>
      </w:tr>
      <w:tr w:rsidR="00313F62" w:rsidRPr="008E006C" w:rsidTr="00313F62">
        <w:trPr>
          <w:trHeight w:val="510"/>
        </w:trPr>
        <w:tc>
          <w:tcPr>
            <w:tcW w:w="4752" w:type="dxa"/>
            <w:vMerge/>
            <w:hideMark/>
          </w:tcPr>
          <w:p w:rsidR="00313F62" w:rsidRPr="008E006C" w:rsidRDefault="00313F62" w:rsidP="00D87134">
            <w:pPr>
              <w:spacing w:before="20" w:after="20"/>
              <w:rPr>
                <w:rFonts w:cs="Times New Roman"/>
                <w:b/>
                <w:bCs/>
                <w:color w:val="000000"/>
                <w:sz w:val="20"/>
                <w:szCs w:val="20"/>
              </w:rPr>
            </w:pPr>
          </w:p>
        </w:tc>
        <w:tc>
          <w:tcPr>
            <w:tcW w:w="1148" w:type="dxa"/>
            <w:hideMark/>
          </w:tcPr>
          <w:p w:rsidR="00313F62" w:rsidRPr="008E006C" w:rsidRDefault="00313F62" w:rsidP="00D87134">
            <w:pPr>
              <w:spacing w:before="20" w:after="20"/>
              <w:jc w:val="center"/>
              <w:rPr>
                <w:rFonts w:cs="Times New Roman"/>
                <w:b/>
                <w:bCs/>
                <w:color w:val="000000"/>
                <w:sz w:val="20"/>
                <w:szCs w:val="20"/>
              </w:rPr>
            </w:pPr>
            <w:r w:rsidRPr="008E006C">
              <w:rPr>
                <w:rFonts w:cs="Times New Roman"/>
                <w:b/>
                <w:bCs/>
                <w:color w:val="000000"/>
                <w:sz w:val="20"/>
                <w:szCs w:val="20"/>
              </w:rPr>
              <w:t>Yes, we did this</w:t>
            </w:r>
          </w:p>
        </w:tc>
        <w:tc>
          <w:tcPr>
            <w:tcW w:w="1895" w:type="dxa"/>
            <w:hideMark/>
          </w:tcPr>
          <w:p w:rsidR="00313F62" w:rsidRPr="008E006C" w:rsidRDefault="00313F62" w:rsidP="00D87134">
            <w:pPr>
              <w:spacing w:before="20" w:after="20"/>
              <w:jc w:val="center"/>
              <w:rPr>
                <w:rFonts w:cs="Times New Roman"/>
                <w:b/>
                <w:bCs/>
                <w:color w:val="000000"/>
                <w:sz w:val="20"/>
                <w:szCs w:val="20"/>
              </w:rPr>
            </w:pPr>
            <w:r w:rsidRPr="008E006C">
              <w:rPr>
                <w:rFonts w:cs="Times New Roman"/>
                <w:b/>
                <w:bCs/>
                <w:color w:val="000000"/>
                <w:sz w:val="20"/>
                <w:szCs w:val="20"/>
              </w:rPr>
              <w:t>No, because staff know about this already</w:t>
            </w:r>
          </w:p>
        </w:tc>
        <w:tc>
          <w:tcPr>
            <w:tcW w:w="1145" w:type="dxa"/>
            <w:hideMark/>
          </w:tcPr>
          <w:p w:rsidR="00313F62" w:rsidRPr="008E006C" w:rsidRDefault="00313F62" w:rsidP="00D87134">
            <w:pPr>
              <w:spacing w:before="20" w:after="20"/>
              <w:jc w:val="center"/>
              <w:rPr>
                <w:rFonts w:cs="Times New Roman"/>
                <w:b/>
                <w:bCs/>
                <w:color w:val="000000"/>
                <w:sz w:val="20"/>
                <w:szCs w:val="20"/>
              </w:rPr>
            </w:pPr>
            <w:r w:rsidRPr="008E006C">
              <w:rPr>
                <w:rFonts w:cs="Times New Roman"/>
                <w:b/>
                <w:bCs/>
                <w:color w:val="000000"/>
                <w:sz w:val="20"/>
                <w:szCs w:val="20"/>
              </w:rPr>
              <w:t>No, for other reasons</w:t>
            </w:r>
          </w:p>
        </w:tc>
        <w:tc>
          <w:tcPr>
            <w:tcW w:w="420" w:type="dxa"/>
            <w:hideMark/>
          </w:tcPr>
          <w:p w:rsidR="00313F62" w:rsidRPr="008E006C" w:rsidRDefault="00313F62" w:rsidP="00D87134">
            <w:pPr>
              <w:spacing w:before="20" w:after="20"/>
              <w:rPr>
                <w:rFonts w:cs="Times New Roman"/>
                <w:b/>
                <w:bCs/>
                <w:color w:val="000000"/>
                <w:sz w:val="20"/>
                <w:szCs w:val="20"/>
              </w:rPr>
            </w:pPr>
            <w:r w:rsidRPr="008E006C">
              <w:rPr>
                <w:rFonts w:cs="Times New Roman"/>
                <w:b/>
                <w:bCs/>
                <w:color w:val="000000"/>
                <w:sz w:val="20"/>
                <w:szCs w:val="20"/>
              </w:rPr>
              <w:t>N</w:t>
            </w:r>
          </w:p>
        </w:tc>
      </w:tr>
      <w:tr w:rsidR="00313F62" w:rsidRPr="008E006C" w:rsidTr="00313F62">
        <w:trPr>
          <w:trHeight w:val="288"/>
        </w:trPr>
        <w:tc>
          <w:tcPr>
            <w:tcW w:w="4752" w:type="dxa"/>
            <w:hideMark/>
          </w:tcPr>
          <w:p w:rsidR="00313F62" w:rsidRPr="008E006C" w:rsidRDefault="00313F62" w:rsidP="00D87134">
            <w:pPr>
              <w:spacing w:before="20" w:after="20"/>
              <w:rPr>
                <w:rFonts w:cs="Times New Roman"/>
                <w:b/>
                <w:bCs/>
                <w:color w:val="000000"/>
                <w:sz w:val="20"/>
                <w:szCs w:val="20"/>
              </w:rPr>
            </w:pPr>
            <w:r w:rsidRPr="008E006C">
              <w:rPr>
                <w:rFonts w:cs="Times New Roman"/>
                <w:b/>
                <w:bCs/>
                <w:color w:val="000000"/>
                <w:sz w:val="20"/>
                <w:szCs w:val="20"/>
              </w:rPr>
              <w:t>May-09 – Launch workshop</w:t>
            </w:r>
          </w:p>
        </w:tc>
        <w:tc>
          <w:tcPr>
            <w:tcW w:w="1148" w:type="dxa"/>
            <w:hideMark/>
          </w:tcPr>
          <w:p w:rsidR="00313F62" w:rsidRPr="008E006C" w:rsidRDefault="00313F62" w:rsidP="00D87134">
            <w:pPr>
              <w:spacing w:before="20" w:after="20"/>
              <w:rPr>
                <w:rFonts w:cs="Times New Roman"/>
                <w:color w:val="000000"/>
                <w:sz w:val="20"/>
                <w:szCs w:val="20"/>
              </w:rPr>
            </w:pPr>
          </w:p>
        </w:tc>
        <w:tc>
          <w:tcPr>
            <w:tcW w:w="1895" w:type="dxa"/>
            <w:hideMark/>
          </w:tcPr>
          <w:p w:rsidR="00313F62" w:rsidRPr="008E006C" w:rsidRDefault="00313F62" w:rsidP="00D87134">
            <w:pPr>
              <w:spacing w:before="20" w:after="20"/>
              <w:rPr>
                <w:rFonts w:cs="Times New Roman"/>
                <w:color w:val="000000"/>
                <w:sz w:val="20"/>
                <w:szCs w:val="20"/>
              </w:rPr>
            </w:pPr>
          </w:p>
        </w:tc>
        <w:tc>
          <w:tcPr>
            <w:tcW w:w="1145" w:type="dxa"/>
            <w:hideMark/>
          </w:tcPr>
          <w:p w:rsidR="00313F62" w:rsidRPr="008E006C" w:rsidRDefault="00313F62" w:rsidP="00D87134">
            <w:pPr>
              <w:spacing w:before="20" w:after="20"/>
              <w:rPr>
                <w:rFonts w:cs="Times New Roman"/>
                <w:color w:val="000000"/>
                <w:sz w:val="20"/>
                <w:szCs w:val="20"/>
              </w:rPr>
            </w:pPr>
          </w:p>
        </w:tc>
        <w:tc>
          <w:tcPr>
            <w:tcW w:w="420" w:type="dxa"/>
            <w:hideMark/>
          </w:tcPr>
          <w:p w:rsidR="00313F62" w:rsidRPr="008E006C" w:rsidRDefault="00313F62" w:rsidP="00D87134">
            <w:pPr>
              <w:spacing w:before="20" w:after="20"/>
              <w:rPr>
                <w:rFonts w:cs="Times New Roman"/>
                <w:color w:val="000000"/>
                <w:sz w:val="20"/>
                <w:szCs w:val="20"/>
              </w:rPr>
            </w:pP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b/>
                <w:color w:val="000000"/>
                <w:sz w:val="20"/>
                <w:szCs w:val="20"/>
              </w:rPr>
            </w:pPr>
            <w:r w:rsidRPr="008E006C">
              <w:rPr>
                <w:rFonts w:cs="Times New Roman"/>
                <w:b/>
                <w:color w:val="000000"/>
                <w:sz w:val="20"/>
                <w:szCs w:val="20"/>
              </w:rPr>
              <w:t>Analytic presentations</w:t>
            </w:r>
          </w:p>
        </w:tc>
        <w:tc>
          <w:tcPr>
            <w:tcW w:w="1148" w:type="dxa"/>
            <w:hideMark/>
          </w:tcPr>
          <w:p w:rsidR="00313F62" w:rsidRPr="008E006C" w:rsidRDefault="00313F62" w:rsidP="00D87134">
            <w:pPr>
              <w:spacing w:before="20" w:after="20"/>
              <w:rPr>
                <w:rFonts w:cs="Times New Roman"/>
                <w:color w:val="000000"/>
                <w:sz w:val="20"/>
                <w:szCs w:val="20"/>
              </w:rPr>
            </w:pPr>
          </w:p>
        </w:tc>
        <w:tc>
          <w:tcPr>
            <w:tcW w:w="1895" w:type="dxa"/>
            <w:hideMark/>
          </w:tcPr>
          <w:p w:rsidR="00313F62" w:rsidRPr="008E006C" w:rsidRDefault="00313F62" w:rsidP="00D87134">
            <w:pPr>
              <w:spacing w:before="20" w:after="20"/>
              <w:rPr>
                <w:rFonts w:cs="Times New Roman"/>
                <w:color w:val="000000"/>
                <w:sz w:val="20"/>
                <w:szCs w:val="20"/>
              </w:rPr>
            </w:pPr>
          </w:p>
        </w:tc>
        <w:tc>
          <w:tcPr>
            <w:tcW w:w="1145" w:type="dxa"/>
            <w:hideMark/>
          </w:tcPr>
          <w:p w:rsidR="00313F62" w:rsidRPr="008E006C" w:rsidRDefault="00313F62" w:rsidP="00D87134">
            <w:pPr>
              <w:spacing w:before="20" w:after="20"/>
              <w:rPr>
                <w:rFonts w:cs="Times New Roman"/>
                <w:color w:val="000000"/>
                <w:sz w:val="20"/>
                <w:szCs w:val="20"/>
              </w:rPr>
            </w:pPr>
          </w:p>
        </w:tc>
        <w:tc>
          <w:tcPr>
            <w:tcW w:w="420" w:type="dxa"/>
            <w:hideMark/>
          </w:tcPr>
          <w:p w:rsidR="00313F62" w:rsidRPr="008E006C" w:rsidRDefault="00313F62" w:rsidP="00D87134">
            <w:pPr>
              <w:spacing w:before="20" w:after="20"/>
              <w:rPr>
                <w:rFonts w:cs="Times New Roman"/>
                <w:color w:val="000000"/>
                <w:sz w:val="20"/>
                <w:szCs w:val="20"/>
              </w:rPr>
            </w:pP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xml:space="preserve">·   Distributed the </w:t>
            </w:r>
            <w:proofErr w:type="gramStart"/>
            <w:r w:rsidRPr="008E006C">
              <w:rPr>
                <w:rFonts w:cs="Times New Roman"/>
                <w:color w:val="000000"/>
                <w:sz w:val="20"/>
                <w:szCs w:val="20"/>
              </w:rPr>
              <w:t>materials  obtained</w:t>
            </w:r>
            <w:proofErr w:type="gramEnd"/>
            <w:r w:rsidRPr="008E006C">
              <w:rPr>
                <w:rFonts w:cs="Times New Roman"/>
                <w:color w:val="000000"/>
                <w:sz w:val="20"/>
                <w:szCs w:val="20"/>
              </w:rPr>
              <w:t xml:space="preserve"> or a list of them  to other researchers</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86.7</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6.7</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6.7</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15</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Led an informal discussion about program budgeting analyses</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78.6</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14.3</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7.1</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14</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Gave a formal presentation on program budgeting analyses</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41.7</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33.3</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25.0</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12</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Led an informal discussion on benefit incidence analyses</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78.6</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14.3</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7.1</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14</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Gave a formal presentation on benefit incidence analyses</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53.8</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30.8</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15.4</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13</w:t>
            </w: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b/>
                <w:color w:val="000000"/>
                <w:sz w:val="20"/>
                <w:szCs w:val="20"/>
              </w:rPr>
            </w:pPr>
            <w:r w:rsidRPr="008E006C">
              <w:rPr>
                <w:rFonts w:cs="Times New Roman"/>
                <w:b/>
                <w:color w:val="000000"/>
                <w:sz w:val="20"/>
                <w:szCs w:val="20"/>
              </w:rPr>
              <w:t>Communications presentations</w:t>
            </w:r>
          </w:p>
        </w:tc>
        <w:tc>
          <w:tcPr>
            <w:tcW w:w="1148" w:type="dxa"/>
            <w:hideMark/>
          </w:tcPr>
          <w:p w:rsidR="00313F62" w:rsidRPr="008E006C" w:rsidRDefault="00313F62" w:rsidP="00D87134">
            <w:pPr>
              <w:spacing w:before="20" w:after="20"/>
              <w:rPr>
                <w:rFonts w:cs="Times New Roman"/>
                <w:color w:val="000000"/>
                <w:sz w:val="20"/>
                <w:szCs w:val="20"/>
              </w:rPr>
            </w:pPr>
          </w:p>
        </w:tc>
        <w:tc>
          <w:tcPr>
            <w:tcW w:w="1895" w:type="dxa"/>
            <w:hideMark/>
          </w:tcPr>
          <w:p w:rsidR="00313F62" w:rsidRPr="008E006C" w:rsidRDefault="00313F62" w:rsidP="00D87134">
            <w:pPr>
              <w:spacing w:before="20" w:after="20"/>
              <w:rPr>
                <w:rFonts w:cs="Times New Roman"/>
                <w:color w:val="000000"/>
                <w:sz w:val="20"/>
                <w:szCs w:val="20"/>
              </w:rPr>
            </w:pPr>
          </w:p>
        </w:tc>
        <w:tc>
          <w:tcPr>
            <w:tcW w:w="1145" w:type="dxa"/>
            <w:hideMark/>
          </w:tcPr>
          <w:p w:rsidR="00313F62" w:rsidRPr="008E006C" w:rsidRDefault="00313F62" w:rsidP="00D87134">
            <w:pPr>
              <w:spacing w:before="20" w:after="20"/>
              <w:rPr>
                <w:rFonts w:cs="Times New Roman"/>
                <w:color w:val="000000"/>
                <w:sz w:val="20"/>
                <w:szCs w:val="20"/>
              </w:rPr>
            </w:pPr>
          </w:p>
        </w:tc>
        <w:tc>
          <w:tcPr>
            <w:tcW w:w="420" w:type="dxa"/>
            <w:hideMark/>
          </w:tcPr>
          <w:p w:rsidR="00313F62" w:rsidRPr="008E006C" w:rsidRDefault="00313F62" w:rsidP="00D87134">
            <w:pPr>
              <w:spacing w:before="20" w:after="20"/>
              <w:rPr>
                <w:rFonts w:cs="Times New Roman"/>
                <w:color w:val="000000"/>
                <w:sz w:val="20"/>
                <w:szCs w:val="20"/>
              </w:rPr>
            </w:pP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Gave materials on communications and impact strategies to your communications team</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57.1</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7.1</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35.7</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14</w:t>
            </w: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Met with the communications team to explain what the sessions on communications strategies were about</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53.3</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0.0</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46.7</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15</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Other</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100</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2</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b/>
                <w:bCs/>
                <w:color w:val="000000"/>
                <w:sz w:val="20"/>
                <w:szCs w:val="20"/>
              </w:rPr>
            </w:pPr>
            <w:r w:rsidRPr="008E006C">
              <w:rPr>
                <w:rFonts w:cs="Times New Roman"/>
                <w:b/>
                <w:bCs/>
                <w:color w:val="000000"/>
                <w:sz w:val="20"/>
                <w:szCs w:val="20"/>
              </w:rPr>
              <w:t>Jan-10 – Review workshop</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 </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 </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 </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 </w:t>
            </w: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b/>
                <w:color w:val="000000"/>
                <w:sz w:val="20"/>
                <w:szCs w:val="20"/>
              </w:rPr>
            </w:pPr>
            <w:r w:rsidRPr="008E006C">
              <w:rPr>
                <w:rFonts w:cs="Times New Roman"/>
                <w:b/>
                <w:color w:val="000000"/>
                <w:sz w:val="20"/>
                <w:szCs w:val="20"/>
              </w:rPr>
              <w:t>Analytic presentations</w:t>
            </w:r>
          </w:p>
        </w:tc>
        <w:tc>
          <w:tcPr>
            <w:tcW w:w="1148" w:type="dxa"/>
            <w:hideMark/>
          </w:tcPr>
          <w:p w:rsidR="00313F62" w:rsidRPr="008E006C" w:rsidRDefault="00313F62" w:rsidP="00D87134">
            <w:pPr>
              <w:spacing w:before="20" w:after="20"/>
              <w:rPr>
                <w:rFonts w:cs="Times New Roman"/>
                <w:color w:val="000000"/>
                <w:sz w:val="20"/>
                <w:szCs w:val="20"/>
              </w:rPr>
            </w:pPr>
          </w:p>
        </w:tc>
        <w:tc>
          <w:tcPr>
            <w:tcW w:w="1895" w:type="dxa"/>
            <w:hideMark/>
          </w:tcPr>
          <w:p w:rsidR="00313F62" w:rsidRPr="008E006C" w:rsidRDefault="00313F62" w:rsidP="00D87134">
            <w:pPr>
              <w:spacing w:before="20" w:after="20"/>
              <w:rPr>
                <w:rFonts w:cs="Times New Roman"/>
                <w:color w:val="000000"/>
                <w:sz w:val="20"/>
                <w:szCs w:val="20"/>
              </w:rPr>
            </w:pPr>
          </w:p>
        </w:tc>
        <w:tc>
          <w:tcPr>
            <w:tcW w:w="1145" w:type="dxa"/>
            <w:hideMark/>
          </w:tcPr>
          <w:p w:rsidR="00313F62" w:rsidRPr="008E006C" w:rsidRDefault="00313F62" w:rsidP="00D87134">
            <w:pPr>
              <w:spacing w:before="20" w:after="20"/>
              <w:rPr>
                <w:rFonts w:cs="Times New Roman"/>
                <w:color w:val="000000"/>
                <w:sz w:val="20"/>
                <w:szCs w:val="20"/>
              </w:rPr>
            </w:pPr>
          </w:p>
        </w:tc>
        <w:tc>
          <w:tcPr>
            <w:tcW w:w="420" w:type="dxa"/>
            <w:hideMark/>
          </w:tcPr>
          <w:p w:rsidR="00313F62" w:rsidRPr="008E006C" w:rsidRDefault="00313F62" w:rsidP="00D87134">
            <w:pPr>
              <w:spacing w:before="20" w:after="20"/>
              <w:rPr>
                <w:rFonts w:cs="Times New Roman"/>
                <w:color w:val="000000"/>
                <w:sz w:val="20"/>
                <w:szCs w:val="20"/>
              </w:rPr>
            </w:pP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xml:space="preserve">·   Distributed the materials obtained or a list of </w:t>
            </w:r>
            <w:proofErr w:type="gramStart"/>
            <w:r w:rsidRPr="008E006C">
              <w:rPr>
                <w:rFonts w:cs="Times New Roman"/>
                <w:color w:val="000000"/>
                <w:sz w:val="20"/>
                <w:szCs w:val="20"/>
              </w:rPr>
              <w:t>them  to</w:t>
            </w:r>
            <w:proofErr w:type="gramEnd"/>
            <w:r w:rsidRPr="008E006C">
              <w:rPr>
                <w:rFonts w:cs="Times New Roman"/>
                <w:color w:val="000000"/>
                <w:sz w:val="20"/>
                <w:szCs w:val="20"/>
              </w:rPr>
              <w:t xml:space="preserve"> other researchers</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92.3</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0.0</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7.7</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13</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Led an informal discussion about cost effectiveness studies</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91.7</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8.3</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0.0</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12</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Gave a formal presentation on cost effectiveness studies</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50.0</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16.7</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33.3</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12</w:t>
            </w: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b/>
                <w:color w:val="000000"/>
                <w:sz w:val="20"/>
                <w:szCs w:val="20"/>
              </w:rPr>
            </w:pPr>
            <w:r w:rsidRPr="008E006C">
              <w:rPr>
                <w:rFonts w:cs="Times New Roman"/>
                <w:b/>
                <w:color w:val="000000"/>
                <w:sz w:val="20"/>
                <w:szCs w:val="20"/>
              </w:rPr>
              <w:t>Communications</w:t>
            </w:r>
          </w:p>
        </w:tc>
        <w:tc>
          <w:tcPr>
            <w:tcW w:w="1148" w:type="dxa"/>
            <w:hideMark/>
          </w:tcPr>
          <w:p w:rsidR="00313F62" w:rsidRPr="008E006C" w:rsidRDefault="00313F62" w:rsidP="00D87134">
            <w:pPr>
              <w:spacing w:before="20" w:after="20"/>
              <w:rPr>
                <w:rFonts w:cs="Times New Roman"/>
                <w:color w:val="000000"/>
                <w:sz w:val="20"/>
                <w:szCs w:val="20"/>
              </w:rPr>
            </w:pPr>
          </w:p>
        </w:tc>
        <w:tc>
          <w:tcPr>
            <w:tcW w:w="1895" w:type="dxa"/>
            <w:hideMark/>
          </w:tcPr>
          <w:p w:rsidR="00313F62" w:rsidRPr="008E006C" w:rsidRDefault="00313F62" w:rsidP="00D87134">
            <w:pPr>
              <w:spacing w:before="20" w:after="20"/>
              <w:rPr>
                <w:rFonts w:cs="Times New Roman"/>
                <w:color w:val="000000"/>
                <w:sz w:val="20"/>
                <w:szCs w:val="20"/>
              </w:rPr>
            </w:pPr>
          </w:p>
        </w:tc>
        <w:tc>
          <w:tcPr>
            <w:tcW w:w="1145" w:type="dxa"/>
            <w:hideMark/>
          </w:tcPr>
          <w:p w:rsidR="00313F62" w:rsidRPr="008E006C" w:rsidRDefault="00313F62" w:rsidP="00D87134">
            <w:pPr>
              <w:spacing w:before="20" w:after="20"/>
              <w:rPr>
                <w:rFonts w:cs="Times New Roman"/>
                <w:color w:val="000000"/>
                <w:sz w:val="20"/>
                <w:szCs w:val="20"/>
              </w:rPr>
            </w:pPr>
          </w:p>
        </w:tc>
        <w:tc>
          <w:tcPr>
            <w:tcW w:w="420" w:type="dxa"/>
            <w:hideMark/>
          </w:tcPr>
          <w:p w:rsidR="00313F62" w:rsidRPr="008E006C" w:rsidRDefault="00313F62" w:rsidP="00D87134">
            <w:pPr>
              <w:spacing w:before="20" w:after="20"/>
              <w:rPr>
                <w:rFonts w:cs="Times New Roman"/>
                <w:color w:val="000000"/>
                <w:sz w:val="20"/>
                <w:szCs w:val="20"/>
              </w:rPr>
            </w:pP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xml:space="preserve">·   Gave materials on </w:t>
            </w:r>
            <w:proofErr w:type="gramStart"/>
            <w:r w:rsidRPr="008E006C">
              <w:rPr>
                <w:rFonts w:cs="Times New Roman"/>
                <w:color w:val="000000"/>
                <w:sz w:val="20"/>
                <w:szCs w:val="20"/>
              </w:rPr>
              <w:t>communications  best</w:t>
            </w:r>
            <w:proofErr w:type="gramEnd"/>
            <w:r w:rsidRPr="008E006C">
              <w:rPr>
                <w:rFonts w:cs="Times New Roman"/>
                <w:color w:val="000000"/>
                <w:sz w:val="20"/>
                <w:szCs w:val="20"/>
              </w:rPr>
              <w:t xml:space="preserve"> practices to your communications team</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58.3</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0.0</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41.7</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12</w:t>
            </w:r>
          </w:p>
        </w:tc>
      </w:tr>
      <w:tr w:rsidR="00313F62" w:rsidRPr="008E006C" w:rsidTr="00313F62">
        <w:trPr>
          <w:trHeight w:val="510"/>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Met with the communications team to explain what the sessions on communications techniques were about</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58.3</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0.0</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41.7</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12</w:t>
            </w:r>
          </w:p>
        </w:tc>
      </w:tr>
      <w:tr w:rsidR="00313F62" w:rsidRPr="008E006C" w:rsidTr="00313F62">
        <w:trPr>
          <w:trHeight w:val="255"/>
        </w:trPr>
        <w:tc>
          <w:tcPr>
            <w:tcW w:w="4752" w:type="dxa"/>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   Other (specify)</w:t>
            </w:r>
          </w:p>
        </w:tc>
        <w:tc>
          <w:tcPr>
            <w:tcW w:w="1148"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100</w:t>
            </w:r>
          </w:p>
        </w:tc>
        <w:tc>
          <w:tcPr>
            <w:tcW w:w="189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w:t>
            </w:r>
          </w:p>
        </w:tc>
        <w:tc>
          <w:tcPr>
            <w:tcW w:w="1145"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0</w:t>
            </w:r>
          </w:p>
        </w:tc>
        <w:tc>
          <w:tcPr>
            <w:tcW w:w="420" w:type="dxa"/>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w:t>
            </w:r>
          </w:p>
        </w:tc>
      </w:tr>
    </w:tbl>
    <w:p w:rsidR="00313F62" w:rsidRPr="00E262C2" w:rsidRDefault="00313F62" w:rsidP="00313F62">
      <w:pPr>
        <w:spacing w:line="23" w:lineRule="atLeast"/>
        <w:rPr>
          <w:rFonts w:ascii="Times" w:hAnsi="Times"/>
          <w:b/>
        </w:rPr>
      </w:pPr>
    </w:p>
    <w:p w:rsidR="00313F62" w:rsidRDefault="00313F62" w:rsidP="00313F62">
      <w:pPr>
        <w:spacing w:line="23" w:lineRule="atLeast"/>
        <w:rPr>
          <w:rFonts w:ascii="Times" w:hAnsi="Times"/>
        </w:rPr>
      </w:pPr>
    </w:p>
    <w:p w:rsidR="00313F62" w:rsidRPr="002D4709" w:rsidRDefault="00313F62" w:rsidP="00313F62">
      <w:pPr>
        <w:autoSpaceDE w:val="0"/>
        <w:autoSpaceDN w:val="0"/>
        <w:adjustRightInd w:val="0"/>
        <w:spacing w:line="23" w:lineRule="atLeast"/>
        <w:rPr>
          <w:rFonts w:ascii="Times" w:eastAsia="Times New Roman" w:hAnsi="Times" w:cs="Times New Roman"/>
        </w:rPr>
      </w:pPr>
      <w:r w:rsidRPr="002D4709">
        <w:rPr>
          <w:rFonts w:ascii="Times" w:eastAsia="Times New Roman" w:hAnsi="Times" w:cs="Times New Roman"/>
        </w:rPr>
        <w:t>The table shows a high degree of sharing the materials. Forty percent of POs reported having 3-5 sharing activities after the launch workshop and 60 percent after the review workshop. One-third reported 6 or more activities after the launch workshop.</w:t>
      </w:r>
      <w:r w:rsidRPr="002D4709">
        <w:rPr>
          <w:rFonts w:ascii="Times" w:eastAsia="Times New Roman" w:hAnsi="Times" w:cs="Times New Roman"/>
          <w:vertAlign w:val="superscript"/>
        </w:rPr>
        <w:footnoteReference w:id="2"/>
      </w:r>
      <w:r w:rsidRPr="002D4709">
        <w:rPr>
          <w:rFonts w:ascii="Times" w:eastAsia="Times New Roman" w:hAnsi="Times" w:cs="Times New Roman"/>
        </w:rPr>
        <w:t xml:space="preserve"> (Respondents were asked to indicate all activities they had undertaken; so there are multiple responses.)</w:t>
      </w:r>
    </w:p>
    <w:p w:rsidR="00313F62" w:rsidRDefault="00313F62" w:rsidP="00313F62">
      <w:pPr>
        <w:spacing w:line="23" w:lineRule="atLeast"/>
        <w:rPr>
          <w:rFonts w:ascii="Times" w:hAnsi="Times"/>
        </w:rPr>
      </w:pPr>
    </w:p>
    <w:p w:rsidR="00313F62" w:rsidRDefault="00313F62" w:rsidP="00313F62">
      <w:pPr>
        <w:spacing w:line="23" w:lineRule="atLeast"/>
        <w:rPr>
          <w:rFonts w:ascii="Times" w:hAnsi="Times"/>
        </w:rPr>
      </w:pPr>
    </w:p>
    <w:p w:rsidR="00313F62" w:rsidRDefault="00313F62" w:rsidP="00313F62">
      <w:pPr>
        <w:spacing w:line="23" w:lineRule="atLeast"/>
        <w:rPr>
          <w:rFonts w:ascii="Times" w:hAnsi="Times"/>
        </w:rPr>
      </w:pPr>
      <w:r w:rsidRPr="00C52C33">
        <w:rPr>
          <w:rFonts w:ascii="Times" w:hAnsi="Times"/>
        </w:rPr>
        <w:t>Substantial activity at nearly all POs is evident for the knowledge gained on research techniques at both workshops, ranging from sending around a list of the materials obtained to making formal presentations.</w:t>
      </w:r>
      <w:r>
        <w:rPr>
          <w:rFonts w:ascii="Times" w:hAnsi="Times"/>
        </w:rPr>
        <w:t xml:space="preserve"> </w:t>
      </w:r>
      <w:r w:rsidRPr="00C52C33">
        <w:rPr>
          <w:rFonts w:ascii="Times" w:hAnsi="Times"/>
        </w:rPr>
        <w:t>The incidence of sharing materials and leading informal discussions is in the 78-87 percent range. The pattern indicates that organization-level benefits on the research side should accrue from participation in the Project.</w:t>
      </w:r>
      <w:r>
        <w:rPr>
          <w:rFonts w:ascii="Times" w:hAnsi="Times"/>
        </w:rPr>
        <w:t xml:space="preserve"> </w:t>
      </w:r>
      <w:r w:rsidRPr="00C52C33">
        <w:rPr>
          <w:rFonts w:ascii="Times" w:hAnsi="Times"/>
        </w:rPr>
        <w:t>There was a substantial increase in sharing of research technique material between the first and second workshops.</w:t>
      </w:r>
    </w:p>
    <w:p w:rsidR="00313F62" w:rsidRPr="00C52C33" w:rsidRDefault="00313F62" w:rsidP="00313F62">
      <w:pPr>
        <w:spacing w:line="23" w:lineRule="atLeast"/>
        <w:rPr>
          <w:rFonts w:ascii="Times" w:hAnsi="Times"/>
        </w:rPr>
      </w:pPr>
    </w:p>
    <w:p w:rsidR="00313F62" w:rsidRDefault="00313F62" w:rsidP="00313F62">
      <w:pPr>
        <w:pStyle w:val="ReportText"/>
        <w:spacing w:before="0" w:after="0" w:line="23" w:lineRule="atLeast"/>
        <w:rPr>
          <w:rFonts w:ascii="Times" w:hAnsi="Times"/>
          <w:sz w:val="22"/>
          <w:szCs w:val="22"/>
        </w:rPr>
      </w:pPr>
      <w:r w:rsidRPr="00C52C33">
        <w:rPr>
          <w:rFonts w:ascii="Times" w:hAnsi="Times"/>
          <w:sz w:val="22"/>
          <w:szCs w:val="22"/>
        </w:rPr>
        <w:t>The pattern for the content of communications events at the workshops is quite different.</w:t>
      </w:r>
      <w:r>
        <w:rPr>
          <w:rFonts w:ascii="Times" w:hAnsi="Times"/>
          <w:sz w:val="22"/>
          <w:szCs w:val="22"/>
        </w:rPr>
        <w:t xml:space="preserve"> </w:t>
      </w:r>
      <w:r w:rsidRPr="00C52C33">
        <w:rPr>
          <w:rFonts w:ascii="Times" w:hAnsi="Times"/>
          <w:sz w:val="22"/>
          <w:szCs w:val="22"/>
        </w:rPr>
        <w:t xml:space="preserve">For both workshops attendees from about half of the participating organizations passed on to the communications staff the materials from the “best practices in communications” session to the communications staff and met with them to review the material. Staff participating in the workshop </w:t>
      </w:r>
      <w:proofErr w:type="gramStart"/>
      <w:r w:rsidRPr="00C52C33">
        <w:rPr>
          <w:rFonts w:ascii="Times" w:hAnsi="Times"/>
          <w:sz w:val="22"/>
          <w:szCs w:val="22"/>
        </w:rPr>
        <w:t>who</w:t>
      </w:r>
      <w:proofErr w:type="gramEnd"/>
      <w:r w:rsidRPr="00C52C33">
        <w:rPr>
          <w:rFonts w:ascii="Times" w:hAnsi="Times"/>
          <w:sz w:val="22"/>
          <w:szCs w:val="22"/>
        </w:rPr>
        <w:t xml:space="preserve"> did not share the information from the analytic session fairly often said this was because other staff already was familiar with it.</w:t>
      </w:r>
      <w:r>
        <w:rPr>
          <w:rFonts w:ascii="Times" w:hAnsi="Times"/>
          <w:sz w:val="22"/>
          <w:szCs w:val="22"/>
        </w:rPr>
        <w:t xml:space="preserve"> </w:t>
      </w:r>
      <w:r w:rsidRPr="00C52C33">
        <w:rPr>
          <w:rFonts w:ascii="Times" w:hAnsi="Times"/>
          <w:sz w:val="22"/>
          <w:szCs w:val="22"/>
        </w:rPr>
        <w:t>This is not the case for the communications information, where it appears that half of attendees just did not bother to share it.</w:t>
      </w:r>
      <w:r>
        <w:rPr>
          <w:rFonts w:ascii="Times" w:hAnsi="Times"/>
          <w:sz w:val="22"/>
          <w:szCs w:val="22"/>
        </w:rPr>
        <w:t xml:space="preserve"> </w:t>
      </w:r>
    </w:p>
    <w:p w:rsidR="00313F62" w:rsidRPr="00C52C33" w:rsidRDefault="00313F62" w:rsidP="00313F62">
      <w:pPr>
        <w:pStyle w:val="ReportText"/>
        <w:spacing w:before="0" w:after="0" w:line="23" w:lineRule="atLeast"/>
        <w:rPr>
          <w:rFonts w:ascii="Times" w:hAnsi="Times"/>
          <w:sz w:val="22"/>
          <w:szCs w:val="22"/>
        </w:rPr>
      </w:pPr>
    </w:p>
    <w:p w:rsidR="00313F62" w:rsidRDefault="00313F62" w:rsidP="00313F62">
      <w:pPr>
        <w:pStyle w:val="ReportText"/>
        <w:spacing w:before="0" w:after="0" w:line="23" w:lineRule="atLeast"/>
        <w:rPr>
          <w:rFonts w:ascii="Times" w:hAnsi="Times"/>
          <w:sz w:val="22"/>
          <w:szCs w:val="22"/>
        </w:rPr>
      </w:pPr>
      <w:r w:rsidRPr="00C52C33">
        <w:rPr>
          <w:rFonts w:ascii="Times" w:hAnsi="Times"/>
          <w:sz w:val="22"/>
          <w:szCs w:val="22"/>
        </w:rPr>
        <w:t>We can explore this point further by examining how PO senior managers perceived the change in their staffs’ advocacy communications knowledge resulting from the GDN presentations.</w:t>
      </w:r>
      <w:r>
        <w:rPr>
          <w:rFonts w:ascii="Times" w:hAnsi="Times"/>
          <w:sz w:val="22"/>
          <w:szCs w:val="22"/>
        </w:rPr>
        <w:t xml:space="preserve"> </w:t>
      </w:r>
      <w:r w:rsidRPr="00C52C33">
        <w:rPr>
          <w:rFonts w:ascii="Times" w:hAnsi="Times"/>
          <w:sz w:val="22"/>
          <w:szCs w:val="22"/>
        </w:rPr>
        <w:t>As shown below, there is essentially a normal distribution of responses, with 73 percent of managers reporting modest to large increases.</w:t>
      </w:r>
      <w:r>
        <w:rPr>
          <w:rFonts w:ascii="Times" w:hAnsi="Times"/>
          <w:sz w:val="22"/>
          <w:szCs w:val="22"/>
        </w:rPr>
        <w:t xml:space="preserve"> </w:t>
      </w:r>
      <w:r w:rsidRPr="00C52C33">
        <w:rPr>
          <w:rFonts w:ascii="Times" w:hAnsi="Times"/>
          <w:sz w:val="22"/>
          <w:szCs w:val="22"/>
        </w:rPr>
        <w:t>Table A4.1.3 illustrates a clear relationship between a modest or greater capacity increase and the number of transfer activities undertaken, i.e., managers perceive real improvement where greater effort was made by those attending the workshops to inform their colleagues charged with communications responsibilities.</w:t>
      </w:r>
      <w:r>
        <w:rPr>
          <w:rFonts w:ascii="Times" w:hAnsi="Times"/>
          <w:sz w:val="22"/>
          <w:szCs w:val="22"/>
        </w:rPr>
        <w:t xml:space="preserve"> </w:t>
      </w:r>
      <w:r w:rsidRPr="00C52C33">
        <w:rPr>
          <w:rFonts w:ascii="Times" w:hAnsi="Times"/>
          <w:sz w:val="22"/>
          <w:szCs w:val="22"/>
        </w:rPr>
        <w:t>For the two workshops, those reporting negligible increases in capacity had a total 10 transfer actions, while those with modest increases and large increases had</w:t>
      </w:r>
      <w:r>
        <w:rPr>
          <w:rFonts w:ascii="Times" w:hAnsi="Times"/>
          <w:sz w:val="22"/>
          <w:szCs w:val="22"/>
        </w:rPr>
        <w:t xml:space="preserve"> </w:t>
      </w:r>
      <w:r w:rsidRPr="00C52C33">
        <w:rPr>
          <w:rFonts w:ascii="Times" w:hAnsi="Times"/>
          <w:sz w:val="22"/>
          <w:szCs w:val="22"/>
        </w:rPr>
        <w:t>44 and 37 actions, respectively.</w:t>
      </w:r>
    </w:p>
    <w:p w:rsidR="00313F62" w:rsidRDefault="00313F62" w:rsidP="00313F62">
      <w:pPr>
        <w:pStyle w:val="ReportText"/>
        <w:spacing w:before="0" w:after="0" w:line="23" w:lineRule="atLeast"/>
        <w:rPr>
          <w:rFonts w:ascii="Times" w:hAnsi="Times"/>
          <w:sz w:val="22"/>
          <w:szCs w:val="22"/>
        </w:rPr>
      </w:pPr>
    </w:p>
    <w:p w:rsidR="00313F62" w:rsidRDefault="00313F62" w:rsidP="00313F62">
      <w:pPr>
        <w:pStyle w:val="ExhibitTitle"/>
        <w:spacing w:before="0" w:after="0" w:line="23" w:lineRule="atLeast"/>
        <w:rPr>
          <w:rFonts w:ascii="Times" w:hAnsi="Times"/>
          <w:color w:val="auto"/>
          <w:sz w:val="22"/>
        </w:rPr>
      </w:pPr>
      <w:bookmarkStart w:id="3" w:name="_Toc272484708"/>
      <w:r w:rsidRPr="00047339">
        <w:rPr>
          <w:rFonts w:ascii="Times" w:hAnsi="Times"/>
          <w:color w:val="auto"/>
          <w:sz w:val="22"/>
        </w:rPr>
        <w:t>Table A4.1.3</w:t>
      </w:r>
      <w:r w:rsidRPr="00047339">
        <w:rPr>
          <w:rFonts w:ascii="Times" w:hAnsi="Times"/>
          <w:color w:val="auto"/>
          <w:sz w:val="22"/>
        </w:rPr>
        <w:tab/>
        <w:t>Management Rating of Increased Communications Capacity from TAP Events</w:t>
      </w:r>
      <w:bookmarkEnd w:id="3"/>
    </w:p>
    <w:p w:rsidR="00313F62" w:rsidRDefault="00313F62" w:rsidP="00313F62">
      <w:pPr>
        <w:pStyle w:val="ReportText"/>
        <w:spacing w:before="0" w:after="0" w:line="23" w:lineRule="atLeast"/>
        <w:rPr>
          <w:rFonts w:ascii="Times" w:hAnsi="Times"/>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7454"/>
        <w:gridCol w:w="1906"/>
      </w:tblGrid>
      <w:tr w:rsidR="00313F62" w:rsidRPr="008E006C" w:rsidTr="00D87134">
        <w:trPr>
          <w:jc w:val="center"/>
        </w:trPr>
        <w:tc>
          <w:tcPr>
            <w:tcW w:w="0" w:type="auto"/>
            <w:gridSpan w:val="2"/>
            <w:shd w:val="clear" w:color="auto" w:fill="C0C0C0"/>
            <w:hideMark/>
          </w:tcPr>
          <w:p w:rsidR="00313F62" w:rsidRPr="008E006C" w:rsidRDefault="00313F62" w:rsidP="00D87134">
            <w:pPr>
              <w:spacing w:before="20" w:after="20"/>
              <w:rPr>
                <w:rFonts w:cs="Times New Roman"/>
              </w:rPr>
            </w:pPr>
            <w:r w:rsidRPr="008E006C">
              <w:rPr>
                <w:rFonts w:cs="Times New Roman"/>
                <w:b/>
                <w:bCs/>
                <w:color w:val="000000"/>
                <w:sz w:val="20"/>
                <w:szCs w:val="20"/>
              </w:rPr>
              <w:t>How would you rate the increase in your organization’s knowledge of advocacy and communications abilities as a result of GDN presentations on these topics?</w:t>
            </w:r>
          </w:p>
        </w:tc>
      </w:tr>
      <w:tr w:rsidR="00313F62" w:rsidRPr="008E006C" w:rsidTr="00D87134">
        <w:trPr>
          <w:jc w:val="center"/>
        </w:trPr>
        <w:tc>
          <w:tcPr>
            <w:tcW w:w="0" w:type="auto"/>
            <w:shd w:val="clear" w:color="auto" w:fill="auto"/>
            <w:vAlign w:val="bottom"/>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Negligible increase</w:t>
            </w:r>
          </w:p>
        </w:tc>
        <w:tc>
          <w:tcPr>
            <w:tcW w:w="0" w:type="auto"/>
            <w:shd w:val="clear" w:color="auto" w:fill="auto"/>
            <w:vAlign w:val="center"/>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13.3</w:t>
            </w:r>
          </w:p>
        </w:tc>
      </w:tr>
      <w:tr w:rsidR="00313F62" w:rsidRPr="008E006C" w:rsidTr="00D87134">
        <w:trPr>
          <w:jc w:val="center"/>
        </w:trPr>
        <w:tc>
          <w:tcPr>
            <w:tcW w:w="0" w:type="auto"/>
            <w:shd w:val="clear" w:color="auto" w:fill="auto"/>
            <w:vAlign w:val="bottom"/>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Modest increase</w:t>
            </w:r>
          </w:p>
        </w:tc>
        <w:tc>
          <w:tcPr>
            <w:tcW w:w="0" w:type="auto"/>
            <w:shd w:val="clear" w:color="auto" w:fill="auto"/>
            <w:vAlign w:val="center"/>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40.0</w:t>
            </w:r>
          </w:p>
        </w:tc>
      </w:tr>
      <w:tr w:rsidR="00313F62" w:rsidRPr="008E006C" w:rsidTr="00D87134">
        <w:trPr>
          <w:jc w:val="center"/>
        </w:trPr>
        <w:tc>
          <w:tcPr>
            <w:tcW w:w="0" w:type="auto"/>
            <w:shd w:val="clear" w:color="auto" w:fill="auto"/>
            <w:vAlign w:val="bottom"/>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Large increase</w:t>
            </w:r>
          </w:p>
        </w:tc>
        <w:tc>
          <w:tcPr>
            <w:tcW w:w="0" w:type="auto"/>
            <w:shd w:val="clear" w:color="auto" w:fill="auto"/>
            <w:vAlign w:val="center"/>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33.3</w:t>
            </w:r>
          </w:p>
        </w:tc>
      </w:tr>
      <w:tr w:rsidR="00313F62" w:rsidRPr="008E006C" w:rsidTr="00D87134">
        <w:trPr>
          <w:jc w:val="center"/>
        </w:trPr>
        <w:tc>
          <w:tcPr>
            <w:tcW w:w="0" w:type="auto"/>
            <w:shd w:val="clear" w:color="auto" w:fill="auto"/>
            <w:vAlign w:val="bottom"/>
            <w:hideMark/>
          </w:tcPr>
          <w:p w:rsidR="00313F62" w:rsidRPr="008E006C" w:rsidRDefault="00313F62" w:rsidP="00D87134">
            <w:pPr>
              <w:spacing w:before="20" w:after="20"/>
              <w:rPr>
                <w:rFonts w:cs="Times New Roman"/>
                <w:color w:val="000000"/>
                <w:sz w:val="20"/>
                <w:szCs w:val="20"/>
              </w:rPr>
            </w:pPr>
            <w:r w:rsidRPr="008E006C">
              <w:rPr>
                <w:rFonts w:cs="Times New Roman"/>
                <w:color w:val="000000"/>
                <w:sz w:val="20"/>
                <w:szCs w:val="20"/>
              </w:rPr>
              <w:t>Fundamental improvement</w:t>
            </w:r>
          </w:p>
        </w:tc>
        <w:tc>
          <w:tcPr>
            <w:tcW w:w="0" w:type="auto"/>
            <w:shd w:val="clear" w:color="auto" w:fill="auto"/>
            <w:vAlign w:val="center"/>
            <w:hideMark/>
          </w:tcPr>
          <w:p w:rsidR="00313F62" w:rsidRPr="008E006C" w:rsidRDefault="00313F62" w:rsidP="00D87134">
            <w:pPr>
              <w:spacing w:before="20" w:after="20"/>
              <w:jc w:val="center"/>
              <w:rPr>
                <w:rFonts w:cs="Times New Roman"/>
                <w:color w:val="000000"/>
                <w:sz w:val="20"/>
                <w:szCs w:val="20"/>
              </w:rPr>
            </w:pPr>
            <w:r w:rsidRPr="008E006C">
              <w:rPr>
                <w:rFonts w:cs="Times New Roman"/>
                <w:color w:val="000000"/>
                <w:sz w:val="20"/>
                <w:szCs w:val="20"/>
              </w:rPr>
              <w:t>13.3</w:t>
            </w:r>
          </w:p>
        </w:tc>
      </w:tr>
    </w:tbl>
    <w:p w:rsidR="00313F62" w:rsidRDefault="00313F62" w:rsidP="00313F62">
      <w:pPr>
        <w:pStyle w:val="ReportText"/>
        <w:spacing w:before="0" w:after="0" w:line="23" w:lineRule="atLeast"/>
        <w:rPr>
          <w:rFonts w:ascii="Times" w:hAnsi="Times"/>
          <w:sz w:val="22"/>
          <w:szCs w:val="22"/>
        </w:rPr>
      </w:pPr>
    </w:p>
    <w:p w:rsidR="00313F62" w:rsidRDefault="00313F62" w:rsidP="00313F62">
      <w:pPr>
        <w:pStyle w:val="ReportText"/>
        <w:spacing w:before="0" w:after="0" w:line="23" w:lineRule="atLeast"/>
        <w:rPr>
          <w:rFonts w:ascii="Times" w:hAnsi="Times"/>
          <w:sz w:val="22"/>
          <w:szCs w:val="22"/>
        </w:rPr>
      </w:pPr>
    </w:p>
    <w:p w:rsidR="00C35B4F" w:rsidRDefault="00313F62" w:rsidP="00313F62">
      <w:pPr>
        <w:pStyle w:val="ReportText"/>
        <w:spacing w:before="0" w:after="0" w:line="23" w:lineRule="atLeast"/>
      </w:pPr>
      <w:r w:rsidRPr="00C52C33">
        <w:rPr>
          <w:rFonts w:ascii="Times" w:hAnsi="Times"/>
          <w:sz w:val="22"/>
          <w:szCs w:val="22"/>
        </w:rPr>
        <w:t>Further to the issue of effectiveness of the communications sessions, 60 percent of respondents named a change in communications practice in response to the following question: “Can you name a major change you organization made to your communications practices due to what you learned at the GDN events?”</w:t>
      </w:r>
      <w:r>
        <w:rPr>
          <w:rFonts w:ascii="Times" w:hAnsi="Times"/>
          <w:sz w:val="22"/>
          <w:szCs w:val="22"/>
        </w:rPr>
        <w:t xml:space="preserve"> </w:t>
      </w:r>
      <w:r w:rsidRPr="00C52C33">
        <w:rPr>
          <w:rFonts w:ascii="Times" w:hAnsi="Times"/>
          <w:sz w:val="22"/>
          <w:szCs w:val="22"/>
        </w:rPr>
        <w:t>The questionnaire asked for a short summary of these changes.</w:t>
      </w:r>
      <w:r>
        <w:rPr>
          <w:rFonts w:ascii="Times" w:hAnsi="Times"/>
          <w:sz w:val="22"/>
          <w:szCs w:val="22"/>
        </w:rPr>
        <w:t xml:space="preserve"> </w:t>
      </w:r>
      <w:r w:rsidRPr="00C52C33">
        <w:rPr>
          <w:rFonts w:ascii="Times" w:hAnsi="Times"/>
          <w:sz w:val="22"/>
          <w:szCs w:val="22"/>
        </w:rPr>
        <w:t>Examples include: “Address issues systematically, convince with reasons,” and “We learned about the pitfalls to avoid when granting interviews to media networks.”</w:t>
      </w:r>
    </w:p>
    <w:sectPr w:rsidR="00C35B4F" w:rsidSect="00C35B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62" w:rsidRDefault="00313F62" w:rsidP="00313F62">
      <w:pPr>
        <w:spacing w:line="240" w:lineRule="auto"/>
      </w:pPr>
      <w:r>
        <w:separator/>
      </w:r>
    </w:p>
  </w:endnote>
  <w:endnote w:type="continuationSeparator" w:id="0">
    <w:p w:rsidR="00313F62" w:rsidRDefault="00313F62" w:rsidP="00313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62" w:rsidRDefault="00313F62" w:rsidP="00313F62">
      <w:pPr>
        <w:spacing w:line="240" w:lineRule="auto"/>
      </w:pPr>
      <w:r>
        <w:separator/>
      </w:r>
    </w:p>
  </w:footnote>
  <w:footnote w:type="continuationSeparator" w:id="0">
    <w:p w:rsidR="00313F62" w:rsidRDefault="00313F62" w:rsidP="00313F62">
      <w:pPr>
        <w:spacing w:line="240" w:lineRule="auto"/>
      </w:pPr>
      <w:r>
        <w:continuationSeparator/>
      </w:r>
    </w:p>
  </w:footnote>
  <w:footnote w:id="1">
    <w:p w:rsidR="00313F62" w:rsidRPr="000C59EB" w:rsidRDefault="00313F62" w:rsidP="00313F62">
      <w:pPr>
        <w:pStyle w:val="FootnoteText"/>
      </w:pPr>
      <w:r w:rsidRPr="000C59EB">
        <w:rPr>
          <w:rStyle w:val="FootnoteReference"/>
        </w:rPr>
        <w:footnoteRef/>
      </w:r>
      <w:r w:rsidRPr="000C59EB">
        <w:t xml:space="preserve"> Source: </w:t>
      </w:r>
      <w:proofErr w:type="spellStart"/>
      <w:r w:rsidRPr="000C59EB">
        <w:t>Struyk</w:t>
      </w:r>
      <w:proofErr w:type="spellEnd"/>
      <w:r w:rsidRPr="000C59EB">
        <w:t xml:space="preserve">, Damon and </w:t>
      </w:r>
      <w:proofErr w:type="spellStart"/>
      <w:r w:rsidRPr="000C59EB">
        <w:t>Haddaway</w:t>
      </w:r>
      <w:proofErr w:type="spellEnd"/>
      <w:r w:rsidRPr="000C59EB">
        <w:t xml:space="preserve"> (2010).</w:t>
      </w:r>
    </w:p>
  </w:footnote>
  <w:footnote w:id="2">
    <w:p w:rsidR="00313F62" w:rsidRPr="0066743F" w:rsidRDefault="00313F62" w:rsidP="00313F62">
      <w:pPr>
        <w:pStyle w:val="FootnoteText"/>
      </w:pPr>
      <w:r w:rsidRPr="0066743F">
        <w:rPr>
          <w:rStyle w:val="FootnoteReference"/>
        </w:rPr>
        <w:footnoteRef/>
      </w:r>
      <w:r w:rsidRPr="0066743F">
        <w:t xml:space="preserve"> Figures are not in the table.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62"/>
    <w:rsid w:val="00313F62"/>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62"/>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313F62"/>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F62"/>
    <w:rPr>
      <w:rFonts w:ascii="Helvetica" w:eastAsia="Times New Roman" w:hAnsi="Helvetica" w:cs="Times New Roman"/>
      <w:b/>
      <w:szCs w:val="20"/>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313F62"/>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313F62"/>
    <w:rPr>
      <w:rFonts w:ascii="Times New Roman" w:eastAsiaTheme="minorHAnsi" w:hAnsi="Times New Roman"/>
      <w:sz w:val="20"/>
      <w:szCs w:val="20"/>
    </w:rPr>
  </w:style>
  <w:style w:type="character" w:styleId="FootnoteReference">
    <w:name w:val="footnote reference"/>
    <w:basedOn w:val="DefaultParagraphFont"/>
    <w:uiPriority w:val="99"/>
    <w:unhideWhenUsed/>
    <w:rsid w:val="00313F62"/>
    <w:rPr>
      <w:vertAlign w:val="superscript"/>
    </w:rPr>
  </w:style>
  <w:style w:type="table" w:styleId="TableGrid">
    <w:name w:val="Table Grid"/>
    <w:basedOn w:val="TableNormal"/>
    <w:uiPriority w:val="59"/>
    <w:rsid w:val="00313F6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xt">
    <w:name w:val="Report Text"/>
    <w:link w:val="ReportTextChar"/>
    <w:rsid w:val="00313F62"/>
    <w:pPr>
      <w:autoSpaceDE w:val="0"/>
      <w:autoSpaceDN w:val="0"/>
      <w:adjustRightInd w:val="0"/>
      <w:spacing w:before="120" w:after="300"/>
    </w:pPr>
    <w:rPr>
      <w:rFonts w:ascii="Times New Roman" w:eastAsia="Times New Roman" w:hAnsi="Times New Roman" w:cs="Times New Roman"/>
    </w:rPr>
  </w:style>
  <w:style w:type="character" w:customStyle="1" w:styleId="ReportTextChar">
    <w:name w:val="Report Text Char"/>
    <w:basedOn w:val="DefaultParagraphFont"/>
    <w:link w:val="ReportText"/>
    <w:rsid w:val="00313F62"/>
    <w:rPr>
      <w:rFonts w:ascii="Times New Roman" w:eastAsia="Times New Roman" w:hAnsi="Times New Roman" w:cs="Times New Roman"/>
    </w:rPr>
  </w:style>
  <w:style w:type="paragraph" w:customStyle="1" w:styleId="ExhibitTitle">
    <w:name w:val="Exhibit Title"/>
    <w:rsid w:val="00313F62"/>
    <w:pPr>
      <w:keepNext/>
      <w:tabs>
        <w:tab w:val="left" w:pos="1080"/>
      </w:tabs>
      <w:spacing w:before="240" w:after="120"/>
    </w:pPr>
    <w:rPr>
      <w:rFonts w:ascii="Times New Roman" w:eastAsia="Times New Roman" w:hAnsi="Times New Roman" w:cs="Times New Roman"/>
      <w:b/>
      <w:color w:val="000080"/>
    </w:rPr>
  </w:style>
  <w:style w:type="table" w:customStyle="1" w:styleId="TableGrid1">
    <w:name w:val="Table Grid1"/>
    <w:basedOn w:val="TableNormal"/>
    <w:next w:val="TableGrid"/>
    <w:uiPriority w:val="59"/>
    <w:rsid w:val="00313F62"/>
    <w:rPr>
      <w:rFonts w:ascii="Times New Roman" w:eastAsiaTheme="minorHAnsi"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62"/>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313F62"/>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F62"/>
    <w:rPr>
      <w:rFonts w:ascii="Helvetica" w:eastAsia="Times New Roman" w:hAnsi="Helvetica" w:cs="Times New Roman"/>
      <w:b/>
      <w:szCs w:val="20"/>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313F62"/>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313F62"/>
    <w:rPr>
      <w:rFonts w:ascii="Times New Roman" w:eastAsiaTheme="minorHAnsi" w:hAnsi="Times New Roman"/>
      <w:sz w:val="20"/>
      <w:szCs w:val="20"/>
    </w:rPr>
  </w:style>
  <w:style w:type="character" w:styleId="FootnoteReference">
    <w:name w:val="footnote reference"/>
    <w:basedOn w:val="DefaultParagraphFont"/>
    <w:uiPriority w:val="99"/>
    <w:unhideWhenUsed/>
    <w:rsid w:val="00313F62"/>
    <w:rPr>
      <w:vertAlign w:val="superscript"/>
    </w:rPr>
  </w:style>
  <w:style w:type="table" w:styleId="TableGrid">
    <w:name w:val="Table Grid"/>
    <w:basedOn w:val="TableNormal"/>
    <w:uiPriority w:val="59"/>
    <w:rsid w:val="00313F6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xt">
    <w:name w:val="Report Text"/>
    <w:link w:val="ReportTextChar"/>
    <w:rsid w:val="00313F62"/>
    <w:pPr>
      <w:autoSpaceDE w:val="0"/>
      <w:autoSpaceDN w:val="0"/>
      <w:adjustRightInd w:val="0"/>
      <w:spacing w:before="120" w:after="300"/>
    </w:pPr>
    <w:rPr>
      <w:rFonts w:ascii="Times New Roman" w:eastAsia="Times New Roman" w:hAnsi="Times New Roman" w:cs="Times New Roman"/>
    </w:rPr>
  </w:style>
  <w:style w:type="character" w:customStyle="1" w:styleId="ReportTextChar">
    <w:name w:val="Report Text Char"/>
    <w:basedOn w:val="DefaultParagraphFont"/>
    <w:link w:val="ReportText"/>
    <w:rsid w:val="00313F62"/>
    <w:rPr>
      <w:rFonts w:ascii="Times New Roman" w:eastAsia="Times New Roman" w:hAnsi="Times New Roman" w:cs="Times New Roman"/>
    </w:rPr>
  </w:style>
  <w:style w:type="paragraph" w:customStyle="1" w:styleId="ExhibitTitle">
    <w:name w:val="Exhibit Title"/>
    <w:rsid w:val="00313F62"/>
    <w:pPr>
      <w:keepNext/>
      <w:tabs>
        <w:tab w:val="left" w:pos="1080"/>
      </w:tabs>
      <w:spacing w:before="240" w:after="120"/>
    </w:pPr>
    <w:rPr>
      <w:rFonts w:ascii="Times New Roman" w:eastAsia="Times New Roman" w:hAnsi="Times New Roman" w:cs="Times New Roman"/>
      <w:b/>
      <w:color w:val="000080"/>
    </w:rPr>
  </w:style>
  <w:style w:type="table" w:customStyle="1" w:styleId="TableGrid1">
    <w:name w:val="Table Grid1"/>
    <w:basedOn w:val="TableNormal"/>
    <w:next w:val="TableGrid"/>
    <w:uiPriority w:val="59"/>
    <w:rsid w:val="00313F62"/>
    <w:rPr>
      <w:rFonts w:ascii="Times New Roman" w:eastAsiaTheme="minorHAnsi"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6004</Characters>
  <Application>Microsoft Macintosh Word</Application>
  <DocSecurity>0</DocSecurity>
  <Lines>50</Lines>
  <Paragraphs>14</Paragraphs>
  <ScaleCrop>false</ScaleCrop>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2015-05-04T20:42:00Z</dcterms:created>
  <dcterms:modified xsi:type="dcterms:W3CDTF">2015-05-04T20:45:00Z</dcterms:modified>
</cp:coreProperties>
</file>